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57" w:rsidRPr="00C72AE5" w:rsidRDefault="00B36757" w:rsidP="001A4AF8">
      <w:pPr>
        <w:rPr>
          <w:rFonts w:cs="Arial"/>
          <w:szCs w:val="24"/>
        </w:rPr>
      </w:pPr>
      <w:bookmarkStart w:id="0" w:name="_GoBack"/>
      <w:bookmarkEnd w:id="0"/>
    </w:p>
    <w:p w:rsidR="001A4AF8" w:rsidRPr="00C72AE5" w:rsidRDefault="001A4AF8" w:rsidP="001A4AF8">
      <w:pPr>
        <w:rPr>
          <w:rFonts w:cs="Arial"/>
          <w:szCs w:val="24"/>
        </w:rPr>
      </w:pPr>
    </w:p>
    <w:p w:rsidR="001A4AF8" w:rsidRDefault="001A4AF8" w:rsidP="001A4AF8">
      <w:pPr>
        <w:rPr>
          <w:rFonts w:cs="Arial"/>
          <w:szCs w:val="24"/>
        </w:rPr>
      </w:pPr>
    </w:p>
    <w:p w:rsidR="001A4AF8" w:rsidRPr="00B36757" w:rsidRDefault="001A4AF8" w:rsidP="00B36757">
      <w:pPr>
        <w:pBdr>
          <w:top w:val="double" w:sz="4" w:space="1" w:color="FFFFFF"/>
        </w:pBdr>
        <w:rPr>
          <w:rFonts w:cs="Arial"/>
          <w:color w:val="FFFFFF"/>
          <w:szCs w:val="24"/>
        </w:rPr>
      </w:pPr>
    </w:p>
    <w:p w:rsidR="00A96AE2" w:rsidRDefault="00A96AE2" w:rsidP="001A4AF8">
      <w:pPr>
        <w:rPr>
          <w:rFonts w:cs="Arial"/>
          <w:b/>
          <w:noProof/>
          <w:color w:val="FFFFFF"/>
          <w:sz w:val="44"/>
          <w:szCs w:val="44"/>
        </w:rPr>
      </w:pPr>
      <w:r>
        <w:rPr>
          <w:rFonts w:cs="Arial"/>
          <w:b/>
          <w:noProof/>
          <w:color w:val="FFFFFF"/>
          <w:sz w:val="44"/>
          <w:szCs w:val="44"/>
        </w:rPr>
        <w:t>West Berkshire Council Schools</w:t>
      </w:r>
    </w:p>
    <w:p w:rsidR="001A4AF8" w:rsidRPr="00B36757" w:rsidRDefault="00FA5BB0" w:rsidP="001A4AF8">
      <w:pPr>
        <w:rPr>
          <w:color w:val="FFFFFF"/>
        </w:rPr>
      </w:pPr>
      <w:r>
        <w:rPr>
          <w:rFonts w:cs="Arial"/>
          <w:b/>
          <w:noProof/>
          <w:color w:val="FFFFFF"/>
          <w:sz w:val="44"/>
          <w:szCs w:val="44"/>
        </w:rPr>
        <w:t xml:space="preserve">Funding Transfers for </w:t>
      </w:r>
      <w:r w:rsidR="00426F07">
        <w:rPr>
          <w:rFonts w:cs="Arial"/>
          <w:b/>
          <w:noProof/>
          <w:color w:val="FFFFFF"/>
          <w:sz w:val="44"/>
          <w:szCs w:val="44"/>
        </w:rPr>
        <w:t xml:space="preserve">Mainstream </w:t>
      </w:r>
      <w:r>
        <w:rPr>
          <w:rFonts w:cs="Arial"/>
          <w:b/>
          <w:noProof/>
          <w:color w:val="FFFFFF"/>
          <w:sz w:val="44"/>
          <w:szCs w:val="44"/>
        </w:rPr>
        <w:t>Exclusions and Fresh Starts</w:t>
      </w:r>
      <w:r w:rsidR="00C74DBA">
        <w:rPr>
          <w:rFonts w:cs="Arial"/>
          <w:b/>
          <w:noProof/>
          <w:color w:val="FFFFFF"/>
          <w:sz w:val="44"/>
          <w:szCs w:val="44"/>
        </w:rPr>
        <w:t xml:space="preserve"> (2018 version)</w:t>
      </w:r>
    </w:p>
    <w:p w:rsidR="001A4AF8" w:rsidRPr="00B36757" w:rsidRDefault="001A4AF8" w:rsidP="00B36757">
      <w:pPr>
        <w:pBdr>
          <w:bottom w:val="double" w:sz="4" w:space="1" w:color="FFFFFF"/>
        </w:pBdr>
        <w:jc w:val="both"/>
        <w:rPr>
          <w:color w:val="FFFFFF"/>
          <w:szCs w:val="24"/>
        </w:rPr>
      </w:pPr>
    </w:p>
    <w:p w:rsidR="001A4AF8" w:rsidRPr="00DF01DC" w:rsidRDefault="001A4AF8" w:rsidP="001A4AF8">
      <w:pPr>
        <w:jc w:val="both"/>
        <w:rPr>
          <w:szCs w:val="24"/>
        </w:rPr>
      </w:pPr>
    </w:p>
    <w:p w:rsidR="001A4AF8" w:rsidRPr="00DF01DC" w:rsidRDefault="001A4AF8" w:rsidP="001A4AF8">
      <w:pPr>
        <w:jc w:val="both"/>
        <w:rPr>
          <w:szCs w:val="24"/>
        </w:rPr>
      </w:pPr>
    </w:p>
    <w:p w:rsidR="001A4AF8" w:rsidRDefault="001A4AF8" w:rsidP="001A4AF8">
      <w:pPr>
        <w:rPr>
          <w:szCs w:val="24"/>
        </w:rPr>
      </w:pPr>
    </w:p>
    <w:p w:rsidR="00930A15" w:rsidRPr="003F073B" w:rsidRDefault="00930A15" w:rsidP="00930A15">
      <w:pPr>
        <w:pStyle w:val="Heading1"/>
        <w:tabs>
          <w:tab w:val="clear" w:pos="0"/>
        </w:tabs>
      </w:pPr>
      <w:r w:rsidRPr="003F073B">
        <w:t>Introduction</w:t>
      </w:r>
      <w:r>
        <w:t xml:space="preserve"> </w:t>
      </w:r>
    </w:p>
    <w:p w:rsidR="00FA5BB0" w:rsidRDefault="00930A15" w:rsidP="0064619D">
      <w:pPr>
        <w:pStyle w:val="Heading2"/>
        <w:tabs>
          <w:tab w:val="clear" w:pos="0"/>
        </w:tabs>
        <w:ind w:left="709" w:hanging="709"/>
        <w:jc w:val="both"/>
      </w:pPr>
      <w:r>
        <w:t>W</w:t>
      </w:r>
      <w:r w:rsidR="00FA5BB0">
        <w:t xml:space="preserve">hen a pupil is permanently excluded and </w:t>
      </w:r>
      <w:r w:rsidR="00C74DBA">
        <w:t xml:space="preserve">then </w:t>
      </w:r>
      <w:r w:rsidR="00FA5BB0">
        <w:t>moves to a new school</w:t>
      </w:r>
      <w:r w:rsidR="001A024E">
        <w:t>,</w:t>
      </w:r>
      <w:r w:rsidR="00FA5BB0">
        <w:t xml:space="preserve"> or </w:t>
      </w:r>
      <w:r w:rsidR="001A024E">
        <w:t xml:space="preserve">when </w:t>
      </w:r>
      <w:r w:rsidR="00FA5BB0">
        <w:t xml:space="preserve">a pupil moves school on a “fresh start”, there is the principal that funding </w:t>
      </w:r>
      <w:r w:rsidR="00333C15">
        <w:t>“</w:t>
      </w:r>
      <w:r w:rsidR="00FA5BB0">
        <w:t>follows the pupil</w:t>
      </w:r>
      <w:r w:rsidR="00333C15">
        <w:t>”</w:t>
      </w:r>
      <w:r w:rsidR="00FA5BB0">
        <w:t xml:space="preserve">. This document sets out the following: </w:t>
      </w:r>
    </w:p>
    <w:p w:rsidR="00FA5BB0" w:rsidRDefault="00FA5BB0" w:rsidP="00FA5BB0">
      <w:pPr>
        <w:pStyle w:val="Heading2"/>
        <w:numPr>
          <w:ilvl w:val="0"/>
          <w:numId w:val="7"/>
        </w:numPr>
        <w:jc w:val="both"/>
      </w:pPr>
      <w:r>
        <w:t>The amount of funding that will transfer in each of the</w:t>
      </w:r>
      <w:r w:rsidR="00C74DBA">
        <w:t>se</w:t>
      </w:r>
      <w:r>
        <w:t xml:space="preserve"> circumstances, and how this is calculated.</w:t>
      </w:r>
    </w:p>
    <w:p w:rsidR="00930A15" w:rsidRDefault="00FA5BB0" w:rsidP="00FA5BB0">
      <w:pPr>
        <w:pStyle w:val="Heading2"/>
        <w:numPr>
          <w:ilvl w:val="0"/>
          <w:numId w:val="7"/>
        </w:numPr>
        <w:jc w:val="both"/>
      </w:pPr>
      <w:r>
        <w:t>How the transfer of funding will take place.</w:t>
      </w:r>
    </w:p>
    <w:p w:rsidR="00930A15" w:rsidRDefault="00333C15" w:rsidP="00930A15">
      <w:pPr>
        <w:pStyle w:val="Heading2"/>
        <w:tabs>
          <w:tab w:val="clear" w:pos="0"/>
        </w:tabs>
        <w:ind w:left="709" w:hanging="709"/>
        <w:jc w:val="both"/>
      </w:pPr>
      <w:r>
        <w:t xml:space="preserve">Only funding transfers in relation to permanent exclusions are covered by legislation. Fresh Starts are a local agreement, set out in the Fair Access Protocol. The Pupil Placement Panel may or may not have been involved in the decision to move the pupil, but </w:t>
      </w:r>
      <w:r w:rsidR="00775E3C">
        <w:t xml:space="preserve">if so, </w:t>
      </w:r>
      <w:r>
        <w:t>any decision on funding will be recorded on the Outome Sheet from the panel meeting.</w:t>
      </w:r>
      <w:r w:rsidR="00EC6DFB">
        <w:t xml:space="preserve"> </w:t>
      </w:r>
    </w:p>
    <w:p w:rsidR="00930A15" w:rsidRPr="003F073B" w:rsidRDefault="00FA5BB0" w:rsidP="00930A15">
      <w:pPr>
        <w:pStyle w:val="Heading1"/>
        <w:tabs>
          <w:tab w:val="clear" w:pos="0"/>
        </w:tabs>
      </w:pPr>
      <w:r>
        <w:t>Exclusions</w:t>
      </w:r>
    </w:p>
    <w:p w:rsidR="00FA5BB0" w:rsidRDefault="00FA5BB0" w:rsidP="00FA5BB0">
      <w:pPr>
        <w:pStyle w:val="Heading2"/>
        <w:tabs>
          <w:tab w:val="clear" w:pos="0"/>
        </w:tabs>
        <w:ind w:left="709" w:hanging="709"/>
        <w:jc w:val="both"/>
      </w:pPr>
      <w:r>
        <w:t xml:space="preserve">The </w:t>
      </w:r>
      <w:r w:rsidR="00333C15">
        <w:t>‘</w:t>
      </w:r>
      <w:r>
        <w:t>School and Early Years F</w:t>
      </w:r>
      <w:r w:rsidR="00333C15">
        <w:t>inance</w:t>
      </w:r>
      <w:r>
        <w:t xml:space="preserve"> </w:t>
      </w:r>
      <w:r w:rsidR="00333C15">
        <w:t xml:space="preserve">(England) </w:t>
      </w:r>
      <w:r>
        <w:t>Regulations</w:t>
      </w:r>
      <w:r w:rsidR="00333C15">
        <w:t>’ (paragraph 27 of the 2018 regulations)</w:t>
      </w:r>
      <w:r>
        <w:t xml:space="preserve"> and </w:t>
      </w:r>
      <w:r w:rsidR="00775E3C">
        <w:t>‘</w:t>
      </w:r>
      <w:r>
        <w:t>School</w:t>
      </w:r>
      <w:r w:rsidR="00775E3C">
        <w:t xml:space="preserve">s Revenue </w:t>
      </w:r>
      <w:r>
        <w:t>Funding Operational Guid</w:t>
      </w:r>
      <w:r w:rsidR="00775E3C">
        <w:t>e’</w:t>
      </w:r>
      <w:r>
        <w:t xml:space="preserve"> </w:t>
      </w:r>
      <w:r w:rsidR="00775E3C">
        <w:t xml:space="preserve">(paragraphs 79 to 95 of the December 2017 version for 2018/19) </w:t>
      </w:r>
      <w:r>
        <w:t>clearly set out the funding transfers required.</w:t>
      </w:r>
    </w:p>
    <w:p w:rsidR="00DC7091" w:rsidRPr="00DC7091" w:rsidRDefault="00DC7091" w:rsidP="0000350F">
      <w:pPr>
        <w:pStyle w:val="Heading2"/>
        <w:ind w:left="680" w:hanging="680"/>
        <w:jc w:val="both"/>
      </w:pPr>
      <w:r>
        <w:t>All West Berkshire academies have provisions in their funding agreements that require the same adjustments as maintained schools</w:t>
      </w:r>
      <w:r w:rsidR="00422E05">
        <w:t xml:space="preserve">. </w:t>
      </w:r>
      <w:r w:rsidR="00833695">
        <w:t>T</w:t>
      </w:r>
      <w:r>
        <w:t xml:space="preserve">he adjustments </w:t>
      </w:r>
      <w:r w:rsidR="00833695">
        <w:t xml:space="preserve">however, </w:t>
      </w:r>
      <w:r>
        <w:t xml:space="preserve">will relate to the </w:t>
      </w:r>
      <w:r w:rsidRPr="00422E05">
        <w:t>academy f</w:t>
      </w:r>
      <w:r>
        <w:t>inancial year.</w:t>
      </w:r>
    </w:p>
    <w:p w:rsidR="00775E3C" w:rsidRDefault="00775E3C" w:rsidP="00FA5BB0">
      <w:pPr>
        <w:pStyle w:val="Heading2"/>
        <w:tabs>
          <w:tab w:val="clear" w:pos="0"/>
        </w:tabs>
        <w:ind w:left="709" w:hanging="709"/>
        <w:jc w:val="both"/>
      </w:pPr>
      <w:r>
        <w:t>The main principals are that:</w:t>
      </w:r>
    </w:p>
    <w:p w:rsidR="00775E3C" w:rsidRDefault="00775E3C" w:rsidP="00B072B4">
      <w:pPr>
        <w:pStyle w:val="Heading2"/>
        <w:numPr>
          <w:ilvl w:val="0"/>
          <w:numId w:val="8"/>
        </w:numPr>
        <w:jc w:val="both"/>
      </w:pPr>
      <w:r>
        <w:t xml:space="preserve">Funding should flow </w:t>
      </w:r>
      <w:r w:rsidRPr="00775E3C">
        <w:rPr>
          <w:b/>
        </w:rPr>
        <w:t>in-year</w:t>
      </w:r>
      <w:r>
        <w:t xml:space="preserve"> from the school that has excluded the pupil to the provision that takes responsibility for the pupil.</w:t>
      </w:r>
    </w:p>
    <w:p w:rsidR="00775E3C" w:rsidRDefault="00775E3C" w:rsidP="00B072B4">
      <w:pPr>
        <w:pStyle w:val="Heading2"/>
        <w:numPr>
          <w:ilvl w:val="0"/>
          <w:numId w:val="8"/>
        </w:numPr>
        <w:jc w:val="both"/>
      </w:pPr>
      <w:r>
        <w:t xml:space="preserve">The provisions act </w:t>
      </w:r>
      <w:r w:rsidRPr="00775E3C">
        <w:rPr>
          <w:b/>
        </w:rPr>
        <w:t>independently</w:t>
      </w:r>
      <w:r>
        <w:t xml:space="preserve"> of whether a particular pupil has been on the census in the first place, and whether the school has received funding for them.</w:t>
      </w:r>
    </w:p>
    <w:p w:rsidR="00833695" w:rsidRPr="00833695" w:rsidRDefault="00833695" w:rsidP="00833695"/>
    <w:p w:rsidR="00422E05" w:rsidRPr="00422E05" w:rsidRDefault="00422E05" w:rsidP="00422E05"/>
    <w:p w:rsidR="00CC0C23" w:rsidRDefault="00775E3C" w:rsidP="00775E3C">
      <w:pPr>
        <w:numPr>
          <w:ilvl w:val="0"/>
          <w:numId w:val="8"/>
        </w:numPr>
      </w:pPr>
      <w:r>
        <w:lastRenderedPageBreak/>
        <w:t xml:space="preserve">The amount to transfer is the formula funding relating to the age </w:t>
      </w:r>
      <w:r w:rsidRPr="00775E3C">
        <w:rPr>
          <w:b/>
        </w:rPr>
        <w:t>and personal circumstances</w:t>
      </w:r>
      <w:r>
        <w:t xml:space="preserve"> of that pupil</w:t>
      </w:r>
      <w:r w:rsidR="00CC0C23">
        <w:t xml:space="preserve"> (i.e. all the pupil led factors in the</w:t>
      </w:r>
    </w:p>
    <w:p w:rsidR="00775E3C" w:rsidRDefault="00CC0C23" w:rsidP="00CC0C23">
      <w:pPr>
        <w:ind w:left="1496"/>
      </w:pPr>
      <w:r>
        <w:t>formula)</w:t>
      </w:r>
      <w:r w:rsidR="00775E3C">
        <w:t xml:space="preserve">, pro rata to the number of </w:t>
      </w:r>
      <w:r w:rsidR="00775E3C" w:rsidRPr="00C74DBA">
        <w:rPr>
          <w:b/>
        </w:rPr>
        <w:t>complete weeks</w:t>
      </w:r>
      <w:r w:rsidR="00775E3C">
        <w:t xml:space="preserve"> remaining in the financial year from the ‘rele</w:t>
      </w:r>
      <w:r w:rsidR="00C74DBA">
        <w:t>v</w:t>
      </w:r>
      <w:r w:rsidR="00775E3C">
        <w:t>ant date’ – the sixth school day following the date of the permanent exclusion.</w:t>
      </w:r>
    </w:p>
    <w:p w:rsidR="00CC0C23" w:rsidRDefault="00CC0C23" w:rsidP="00CC0C23">
      <w:pPr>
        <w:ind w:left="1496"/>
      </w:pPr>
    </w:p>
    <w:p w:rsidR="00CC0C23" w:rsidRDefault="00CC0C23" w:rsidP="00CC0C23">
      <w:pPr>
        <w:numPr>
          <w:ilvl w:val="0"/>
          <w:numId w:val="8"/>
        </w:numPr>
      </w:pPr>
      <w:r>
        <w:t>For post-16 pupil</w:t>
      </w:r>
      <w:r w:rsidR="00833695">
        <w:t>s</w:t>
      </w:r>
      <w:r>
        <w:t xml:space="preserve"> the amount to transfer is £4,000, pro rata as above.</w:t>
      </w:r>
    </w:p>
    <w:p w:rsidR="00775E3C" w:rsidRDefault="00775E3C" w:rsidP="00775E3C"/>
    <w:p w:rsidR="00CC0C23" w:rsidRDefault="00CC0C23" w:rsidP="00CC0C23">
      <w:pPr>
        <w:pStyle w:val="Heading2"/>
        <w:tabs>
          <w:tab w:val="clear" w:pos="0"/>
        </w:tabs>
        <w:ind w:left="709" w:hanging="709"/>
        <w:jc w:val="both"/>
      </w:pPr>
      <w:r>
        <w:t xml:space="preserve">It is acceptable to use the average pupil led funding for the school. Thus, the calculation of the weekly amount to be used in the calculation </w:t>
      </w:r>
      <w:r w:rsidR="00C74DBA">
        <w:t xml:space="preserve">for a pre-16 pupil </w:t>
      </w:r>
      <w:r>
        <w:t>would be as shown in the following example: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2192"/>
      </w:tblGrid>
      <w:tr w:rsidR="00CC0C23" w:rsidTr="007F266B">
        <w:tc>
          <w:tcPr>
            <w:tcW w:w="3761" w:type="dxa"/>
            <w:shd w:val="clear" w:color="auto" w:fill="auto"/>
          </w:tcPr>
          <w:p w:rsidR="00CC0C23" w:rsidRPr="007F266B" w:rsidRDefault="00DC7091" w:rsidP="00CC0C23">
            <w:pPr>
              <w:rPr>
                <w:b/>
              </w:rPr>
            </w:pPr>
            <w:r w:rsidRPr="007F266B">
              <w:rPr>
                <w:b/>
              </w:rPr>
              <w:t>Current Year Funding Formula</w:t>
            </w:r>
          </w:p>
        </w:tc>
        <w:tc>
          <w:tcPr>
            <w:tcW w:w="2192" w:type="dxa"/>
            <w:shd w:val="clear" w:color="auto" w:fill="auto"/>
          </w:tcPr>
          <w:p w:rsidR="00CC0C23" w:rsidRPr="007F266B" w:rsidRDefault="00833695" w:rsidP="007F266B">
            <w:pPr>
              <w:jc w:val="right"/>
              <w:rPr>
                <w:b/>
              </w:rPr>
            </w:pPr>
            <w:r w:rsidRPr="007F266B">
              <w:rPr>
                <w:b/>
              </w:rPr>
              <w:t>Total Funding</w:t>
            </w:r>
          </w:p>
        </w:tc>
      </w:tr>
      <w:tr w:rsidR="00CC0C23" w:rsidTr="007F266B">
        <w:tc>
          <w:tcPr>
            <w:tcW w:w="3761" w:type="dxa"/>
            <w:shd w:val="clear" w:color="auto" w:fill="auto"/>
          </w:tcPr>
          <w:p w:rsidR="00CC0C23" w:rsidRDefault="00CC0C23" w:rsidP="00CC0C23">
            <w:r>
              <w:t>Basic Entitlement</w:t>
            </w:r>
          </w:p>
        </w:tc>
        <w:tc>
          <w:tcPr>
            <w:tcW w:w="2192" w:type="dxa"/>
            <w:shd w:val="clear" w:color="auto" w:fill="auto"/>
          </w:tcPr>
          <w:p w:rsidR="00CC0C23" w:rsidRDefault="00BA13F2" w:rsidP="007F266B">
            <w:pPr>
              <w:jc w:val="right"/>
            </w:pPr>
            <w:r>
              <w:t>£3,800,000</w:t>
            </w:r>
          </w:p>
        </w:tc>
      </w:tr>
      <w:tr w:rsidR="00CC0C23" w:rsidTr="007F266B">
        <w:tc>
          <w:tcPr>
            <w:tcW w:w="3761" w:type="dxa"/>
            <w:shd w:val="clear" w:color="auto" w:fill="auto"/>
          </w:tcPr>
          <w:p w:rsidR="00CC0C23" w:rsidRDefault="00BA13F2" w:rsidP="00BA13F2">
            <w:r>
              <w:t>Low Prior Attainment</w:t>
            </w:r>
            <w:r w:rsidR="00CC0C23">
              <w:t xml:space="preserve"> Funding</w:t>
            </w:r>
          </w:p>
        </w:tc>
        <w:tc>
          <w:tcPr>
            <w:tcW w:w="2192" w:type="dxa"/>
            <w:shd w:val="clear" w:color="auto" w:fill="auto"/>
          </w:tcPr>
          <w:p w:rsidR="00CC0C23" w:rsidRDefault="00BA13F2" w:rsidP="007F266B">
            <w:pPr>
              <w:jc w:val="right"/>
            </w:pPr>
            <w:r>
              <w:t>£220,000</w:t>
            </w:r>
          </w:p>
        </w:tc>
      </w:tr>
      <w:tr w:rsidR="00CC0C23" w:rsidTr="007F266B">
        <w:tc>
          <w:tcPr>
            <w:tcW w:w="3761" w:type="dxa"/>
            <w:shd w:val="clear" w:color="auto" w:fill="auto"/>
          </w:tcPr>
          <w:p w:rsidR="00CC0C23" w:rsidRDefault="00BA13F2" w:rsidP="00CC0C23">
            <w:r>
              <w:t>Deprivation</w:t>
            </w:r>
            <w:r w:rsidR="00CC0C23">
              <w:t xml:space="preserve"> Funding</w:t>
            </w:r>
          </w:p>
        </w:tc>
        <w:tc>
          <w:tcPr>
            <w:tcW w:w="2192" w:type="dxa"/>
            <w:shd w:val="clear" w:color="auto" w:fill="auto"/>
          </w:tcPr>
          <w:p w:rsidR="00CC0C23" w:rsidRDefault="00BA13F2" w:rsidP="007F266B">
            <w:pPr>
              <w:jc w:val="right"/>
            </w:pPr>
            <w:r>
              <w:t>£84,000</w:t>
            </w:r>
          </w:p>
        </w:tc>
      </w:tr>
      <w:tr w:rsidR="00CC0C23" w:rsidTr="007F266B">
        <w:tc>
          <w:tcPr>
            <w:tcW w:w="3761" w:type="dxa"/>
            <w:shd w:val="clear" w:color="auto" w:fill="auto"/>
          </w:tcPr>
          <w:p w:rsidR="00CC0C23" w:rsidRDefault="00CC0C23" w:rsidP="00CC0C23">
            <w:r>
              <w:t>English as an Additional Language Funding</w:t>
            </w:r>
          </w:p>
        </w:tc>
        <w:tc>
          <w:tcPr>
            <w:tcW w:w="2192" w:type="dxa"/>
            <w:shd w:val="clear" w:color="auto" w:fill="auto"/>
          </w:tcPr>
          <w:p w:rsidR="00CC0C23" w:rsidRDefault="00BA13F2" w:rsidP="007F266B">
            <w:pPr>
              <w:jc w:val="right"/>
            </w:pPr>
            <w:r>
              <w:t>£5,000</w:t>
            </w:r>
          </w:p>
        </w:tc>
      </w:tr>
      <w:tr w:rsidR="00CC0C23" w:rsidTr="007F266B">
        <w:tc>
          <w:tcPr>
            <w:tcW w:w="3761" w:type="dxa"/>
            <w:shd w:val="clear" w:color="auto" w:fill="auto"/>
          </w:tcPr>
          <w:p w:rsidR="00CC0C23" w:rsidRPr="007F266B" w:rsidRDefault="00CC0C23" w:rsidP="00CC0C23">
            <w:pPr>
              <w:rPr>
                <w:b/>
              </w:rPr>
            </w:pPr>
            <w:r w:rsidRPr="007F266B">
              <w:rPr>
                <w:b/>
              </w:rPr>
              <w:t>Total Pupil Led Funding</w:t>
            </w:r>
          </w:p>
        </w:tc>
        <w:tc>
          <w:tcPr>
            <w:tcW w:w="2192" w:type="dxa"/>
            <w:shd w:val="clear" w:color="auto" w:fill="auto"/>
          </w:tcPr>
          <w:p w:rsidR="00CC0C23" w:rsidRPr="007F266B" w:rsidRDefault="00BA13F2" w:rsidP="007F266B">
            <w:pPr>
              <w:jc w:val="right"/>
              <w:rPr>
                <w:b/>
              </w:rPr>
            </w:pPr>
            <w:r w:rsidRPr="007F266B">
              <w:rPr>
                <w:b/>
              </w:rPr>
              <w:t>£4,109,000</w:t>
            </w:r>
          </w:p>
        </w:tc>
      </w:tr>
      <w:tr w:rsidR="00CC0C23" w:rsidTr="007F266B">
        <w:tc>
          <w:tcPr>
            <w:tcW w:w="3761" w:type="dxa"/>
            <w:shd w:val="clear" w:color="auto" w:fill="auto"/>
          </w:tcPr>
          <w:p w:rsidR="00CC0C23" w:rsidRDefault="00CC0C23" w:rsidP="00DC7091">
            <w:r>
              <w:t xml:space="preserve">Number of </w:t>
            </w:r>
            <w:r w:rsidR="00DC7091">
              <w:t>p</w:t>
            </w:r>
            <w:r>
              <w:t>upils</w:t>
            </w:r>
            <w:r w:rsidR="00DC7091">
              <w:t xml:space="preserve"> the formula funding is based on</w:t>
            </w:r>
          </w:p>
        </w:tc>
        <w:tc>
          <w:tcPr>
            <w:tcW w:w="2192" w:type="dxa"/>
            <w:shd w:val="clear" w:color="auto" w:fill="auto"/>
          </w:tcPr>
          <w:p w:rsidR="00CC0C23" w:rsidRDefault="00BA13F2" w:rsidP="007F266B">
            <w:pPr>
              <w:jc w:val="right"/>
            </w:pPr>
            <w:r>
              <w:t>900</w:t>
            </w:r>
          </w:p>
        </w:tc>
      </w:tr>
      <w:tr w:rsidR="00CC0C23" w:rsidTr="007F266B">
        <w:tc>
          <w:tcPr>
            <w:tcW w:w="3761" w:type="dxa"/>
            <w:shd w:val="clear" w:color="auto" w:fill="auto"/>
          </w:tcPr>
          <w:p w:rsidR="00CC0C23" w:rsidRPr="007F266B" w:rsidRDefault="00CC0C23" w:rsidP="00CC0C23">
            <w:pPr>
              <w:rPr>
                <w:b/>
              </w:rPr>
            </w:pPr>
            <w:r w:rsidRPr="007F266B">
              <w:rPr>
                <w:b/>
              </w:rPr>
              <w:t>Pupil Led Funding per pupil</w:t>
            </w:r>
          </w:p>
        </w:tc>
        <w:tc>
          <w:tcPr>
            <w:tcW w:w="2192" w:type="dxa"/>
            <w:shd w:val="clear" w:color="auto" w:fill="auto"/>
          </w:tcPr>
          <w:p w:rsidR="00CC0C23" w:rsidRPr="007F266B" w:rsidRDefault="00BA13F2" w:rsidP="007F266B">
            <w:pPr>
              <w:jc w:val="right"/>
              <w:rPr>
                <w:b/>
              </w:rPr>
            </w:pPr>
            <w:r w:rsidRPr="007F266B">
              <w:rPr>
                <w:b/>
              </w:rPr>
              <w:t>£4,565.56</w:t>
            </w:r>
          </w:p>
        </w:tc>
      </w:tr>
      <w:tr w:rsidR="00CC0C23" w:rsidTr="007F266B">
        <w:tc>
          <w:tcPr>
            <w:tcW w:w="3761" w:type="dxa"/>
            <w:shd w:val="clear" w:color="auto" w:fill="auto"/>
          </w:tcPr>
          <w:p w:rsidR="00CC0C23" w:rsidRPr="007F266B" w:rsidRDefault="00CC0C23" w:rsidP="007D2393">
            <w:pPr>
              <w:rPr>
                <w:b/>
              </w:rPr>
            </w:pPr>
            <w:r w:rsidRPr="007F266B">
              <w:rPr>
                <w:b/>
              </w:rPr>
              <w:t>Weekly per pupil Amount</w:t>
            </w:r>
            <w:r w:rsidR="00BA13F2" w:rsidRPr="007F266B">
              <w:rPr>
                <w:b/>
              </w:rPr>
              <w:t xml:space="preserve"> (divide by </w:t>
            </w:r>
            <w:r w:rsidR="007D2393" w:rsidRPr="007F266B">
              <w:rPr>
                <w:b/>
              </w:rPr>
              <w:t>52</w:t>
            </w:r>
            <w:r w:rsidR="00BA13F2" w:rsidRPr="007F266B">
              <w:rPr>
                <w:b/>
              </w:rPr>
              <w:t>)</w:t>
            </w:r>
          </w:p>
        </w:tc>
        <w:tc>
          <w:tcPr>
            <w:tcW w:w="2192" w:type="dxa"/>
            <w:shd w:val="clear" w:color="auto" w:fill="auto"/>
          </w:tcPr>
          <w:p w:rsidR="00CC0C23" w:rsidRPr="007F266B" w:rsidRDefault="00BA13F2" w:rsidP="007F266B">
            <w:pPr>
              <w:jc w:val="right"/>
              <w:rPr>
                <w:b/>
              </w:rPr>
            </w:pPr>
            <w:r w:rsidRPr="007F266B">
              <w:rPr>
                <w:b/>
              </w:rPr>
              <w:t>£</w:t>
            </w:r>
            <w:r w:rsidR="007D2393" w:rsidRPr="007F266B">
              <w:rPr>
                <w:b/>
              </w:rPr>
              <w:t>87.80</w:t>
            </w:r>
          </w:p>
        </w:tc>
      </w:tr>
    </w:tbl>
    <w:p w:rsidR="00CC0C23" w:rsidRDefault="00CC0C23" w:rsidP="00CC0C23">
      <w:pPr>
        <w:ind w:left="720"/>
      </w:pPr>
    </w:p>
    <w:p w:rsidR="00725F45" w:rsidRDefault="00725F45" w:rsidP="00CC0C23">
      <w:pPr>
        <w:ind w:left="720"/>
      </w:pPr>
      <w:r>
        <w:t xml:space="preserve">The funding formula breakdown and pupil numbers for every West Berkshire school can be found on the WBC school funding web page: </w:t>
      </w:r>
      <w:hyperlink r:id="rId8" w:history="1">
        <w:r w:rsidRPr="00D21797">
          <w:rPr>
            <w:rStyle w:val="Hyperlink"/>
          </w:rPr>
          <w:t>http://info.westberks.gov.uk/article/31483</w:t>
        </w:r>
      </w:hyperlink>
    </w:p>
    <w:p w:rsidR="00725F45" w:rsidRPr="00CC0C23" w:rsidRDefault="00725F45" w:rsidP="00CC0C23">
      <w:pPr>
        <w:ind w:left="720"/>
      </w:pPr>
    </w:p>
    <w:p w:rsidR="00BA13F2" w:rsidRDefault="00BA13F2" w:rsidP="001A024E">
      <w:pPr>
        <w:pStyle w:val="Heading2"/>
        <w:ind w:left="720" w:hanging="720"/>
        <w:jc w:val="both"/>
      </w:pPr>
      <w:r>
        <w:t xml:space="preserve">The calculation of the funding is then as </w:t>
      </w:r>
      <w:r w:rsidR="007D2393">
        <w:t>shown in the following example</w:t>
      </w:r>
      <w:r w:rsidR="001A024E">
        <w:t xml:space="preserve"> (for a pupil excluded on 24</w:t>
      </w:r>
      <w:r w:rsidR="001A024E" w:rsidRPr="001A024E">
        <w:rPr>
          <w:vertAlign w:val="superscript"/>
        </w:rPr>
        <w:t>th</w:t>
      </w:r>
      <w:r w:rsidR="001A024E">
        <w:t xml:space="preserve"> November and then starting in a new school from 3</w:t>
      </w:r>
      <w:r w:rsidR="001A024E" w:rsidRPr="001A024E">
        <w:rPr>
          <w:vertAlign w:val="superscript"/>
        </w:rPr>
        <w:t>rd</w:t>
      </w:r>
      <w:r w:rsidR="001A024E">
        <w:t xml:space="preserve"> January)</w:t>
      </w:r>
      <w:r>
        <w:t>:</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43"/>
        <w:gridCol w:w="2909"/>
        <w:gridCol w:w="1284"/>
      </w:tblGrid>
      <w:tr w:rsidR="007D2393" w:rsidTr="001A024E">
        <w:tc>
          <w:tcPr>
            <w:tcW w:w="4462" w:type="dxa"/>
            <w:gridSpan w:val="2"/>
            <w:shd w:val="clear" w:color="auto" w:fill="auto"/>
          </w:tcPr>
          <w:p w:rsidR="007D2393" w:rsidRDefault="007D2393" w:rsidP="007F266B">
            <w:pPr>
              <w:jc w:val="center"/>
            </w:pPr>
            <w:r>
              <w:t>Excluding School</w:t>
            </w:r>
          </w:p>
        </w:tc>
        <w:tc>
          <w:tcPr>
            <w:tcW w:w="4193" w:type="dxa"/>
            <w:gridSpan w:val="2"/>
            <w:shd w:val="clear" w:color="auto" w:fill="auto"/>
          </w:tcPr>
          <w:p w:rsidR="007D2393" w:rsidRDefault="007D2393" w:rsidP="007F266B">
            <w:pPr>
              <w:jc w:val="center"/>
            </w:pPr>
            <w:r>
              <w:t>Receiving School</w:t>
            </w:r>
            <w:r w:rsidR="00426F07">
              <w:t xml:space="preserve"> (or reinstatement at Excluding School</w:t>
            </w:r>
            <w:r w:rsidR="00833695">
              <w:t>)</w:t>
            </w:r>
          </w:p>
        </w:tc>
      </w:tr>
      <w:tr w:rsidR="007D2393" w:rsidTr="001A024E">
        <w:tc>
          <w:tcPr>
            <w:tcW w:w="3119" w:type="dxa"/>
            <w:shd w:val="clear" w:color="auto" w:fill="auto"/>
          </w:tcPr>
          <w:p w:rsidR="007D2393" w:rsidRDefault="007D2393" w:rsidP="00BA13F2">
            <w:r>
              <w:t>Weekly amount per pupil</w:t>
            </w:r>
          </w:p>
        </w:tc>
        <w:tc>
          <w:tcPr>
            <w:tcW w:w="1343" w:type="dxa"/>
            <w:shd w:val="clear" w:color="auto" w:fill="auto"/>
          </w:tcPr>
          <w:p w:rsidR="007D2393" w:rsidRDefault="007D2393" w:rsidP="007F266B">
            <w:pPr>
              <w:jc w:val="center"/>
            </w:pPr>
            <w:r>
              <w:t>£87.80</w:t>
            </w:r>
          </w:p>
        </w:tc>
        <w:tc>
          <w:tcPr>
            <w:tcW w:w="2909" w:type="dxa"/>
            <w:shd w:val="clear" w:color="auto" w:fill="auto"/>
          </w:tcPr>
          <w:p w:rsidR="007D2393" w:rsidRDefault="00422E05" w:rsidP="00422E05">
            <w:r>
              <w:t>Weekly amount per pupil</w:t>
            </w:r>
          </w:p>
        </w:tc>
        <w:tc>
          <w:tcPr>
            <w:tcW w:w="1284" w:type="dxa"/>
            <w:shd w:val="clear" w:color="auto" w:fill="auto"/>
          </w:tcPr>
          <w:p w:rsidR="007D2393" w:rsidRDefault="007D2393" w:rsidP="007F266B">
            <w:pPr>
              <w:jc w:val="center"/>
            </w:pPr>
            <w:r>
              <w:t>£87.80</w:t>
            </w:r>
          </w:p>
        </w:tc>
      </w:tr>
      <w:tr w:rsidR="001A024E" w:rsidTr="001A024E">
        <w:tc>
          <w:tcPr>
            <w:tcW w:w="3119" w:type="dxa"/>
            <w:shd w:val="clear" w:color="auto" w:fill="auto"/>
          </w:tcPr>
          <w:p w:rsidR="007D2393" w:rsidRDefault="007D2393" w:rsidP="001A024E">
            <w:r>
              <w:t xml:space="preserve">Multiply by number of </w:t>
            </w:r>
            <w:r w:rsidR="001A024E">
              <w:t xml:space="preserve">complete </w:t>
            </w:r>
            <w:r>
              <w:t xml:space="preserve">weeks remaining in financial year from </w:t>
            </w:r>
            <w:r w:rsidR="001A024E">
              <w:t xml:space="preserve">the </w:t>
            </w:r>
            <w:r>
              <w:t>relevant date</w:t>
            </w:r>
            <w:r w:rsidR="00422E05">
              <w:t xml:space="preserve"> </w:t>
            </w:r>
            <w:r w:rsidR="001A024E">
              <w:t>i.e</w:t>
            </w:r>
            <w:r w:rsidR="00422E05">
              <w:t>. from 1</w:t>
            </w:r>
            <w:r w:rsidR="00422E05" w:rsidRPr="007F266B">
              <w:rPr>
                <w:vertAlign w:val="superscript"/>
              </w:rPr>
              <w:t>st</w:t>
            </w:r>
            <w:r w:rsidR="00422E05">
              <w:t xml:space="preserve"> December to 31</w:t>
            </w:r>
            <w:r w:rsidR="00422E05" w:rsidRPr="007F266B">
              <w:rPr>
                <w:vertAlign w:val="superscript"/>
              </w:rPr>
              <w:t>st</w:t>
            </w:r>
            <w:r w:rsidR="00422E05">
              <w:t xml:space="preserve"> March</w:t>
            </w:r>
            <w:r w:rsidR="00121887">
              <w:t xml:space="preserve"> (it would be 31</w:t>
            </w:r>
            <w:r w:rsidR="00121887" w:rsidRPr="00121887">
              <w:rPr>
                <w:vertAlign w:val="superscript"/>
              </w:rPr>
              <w:t>st</w:t>
            </w:r>
            <w:r w:rsidR="00121887">
              <w:t xml:space="preserve"> August for an academy)</w:t>
            </w:r>
          </w:p>
        </w:tc>
        <w:tc>
          <w:tcPr>
            <w:tcW w:w="1343" w:type="dxa"/>
            <w:shd w:val="clear" w:color="auto" w:fill="auto"/>
            <w:vAlign w:val="center"/>
          </w:tcPr>
          <w:p w:rsidR="007D2393" w:rsidRDefault="00422E05" w:rsidP="007F266B">
            <w:pPr>
              <w:jc w:val="center"/>
            </w:pPr>
            <w:r>
              <w:t>17</w:t>
            </w:r>
          </w:p>
        </w:tc>
        <w:tc>
          <w:tcPr>
            <w:tcW w:w="2909" w:type="dxa"/>
            <w:shd w:val="clear" w:color="auto" w:fill="auto"/>
          </w:tcPr>
          <w:p w:rsidR="007D2393" w:rsidRDefault="00422E05" w:rsidP="001A024E">
            <w:r>
              <w:t xml:space="preserve">Multiply by number of </w:t>
            </w:r>
            <w:r w:rsidR="001A024E">
              <w:t xml:space="preserve">complete </w:t>
            </w:r>
            <w:r>
              <w:t xml:space="preserve">weeks remaining in financial year from date pupil starts </w:t>
            </w:r>
            <w:r w:rsidR="008A7CF7">
              <w:t xml:space="preserve">in the new school </w:t>
            </w:r>
            <w:r w:rsidR="001A024E">
              <w:t>i.e</w:t>
            </w:r>
            <w:r>
              <w:t xml:space="preserve">. from </w:t>
            </w:r>
            <w:r w:rsidR="001A024E">
              <w:t>3</w:t>
            </w:r>
            <w:r w:rsidR="001A024E" w:rsidRPr="001A024E">
              <w:rPr>
                <w:vertAlign w:val="superscript"/>
              </w:rPr>
              <w:t>rd</w:t>
            </w:r>
            <w:r w:rsidR="001A024E">
              <w:t xml:space="preserve"> </w:t>
            </w:r>
            <w:r>
              <w:t>January to 31</w:t>
            </w:r>
            <w:r w:rsidRPr="007F266B">
              <w:rPr>
                <w:vertAlign w:val="superscript"/>
              </w:rPr>
              <w:t>st</w:t>
            </w:r>
            <w:r>
              <w:t xml:space="preserve"> March</w:t>
            </w:r>
            <w:r w:rsidR="00121887">
              <w:t xml:space="preserve"> (it would be 31</w:t>
            </w:r>
            <w:r w:rsidR="00121887" w:rsidRPr="00121887">
              <w:rPr>
                <w:vertAlign w:val="superscript"/>
              </w:rPr>
              <w:t>st</w:t>
            </w:r>
            <w:r w:rsidR="00121887">
              <w:t xml:space="preserve"> August for an academy)</w:t>
            </w:r>
          </w:p>
        </w:tc>
        <w:tc>
          <w:tcPr>
            <w:tcW w:w="1284" w:type="dxa"/>
            <w:shd w:val="clear" w:color="auto" w:fill="auto"/>
            <w:vAlign w:val="center"/>
          </w:tcPr>
          <w:p w:rsidR="007D2393" w:rsidRDefault="00422E05" w:rsidP="007F266B">
            <w:pPr>
              <w:jc w:val="center"/>
            </w:pPr>
            <w:r>
              <w:t>12</w:t>
            </w:r>
          </w:p>
        </w:tc>
      </w:tr>
      <w:tr w:rsidR="007D2393" w:rsidTr="001A024E">
        <w:tc>
          <w:tcPr>
            <w:tcW w:w="3119" w:type="dxa"/>
            <w:shd w:val="clear" w:color="auto" w:fill="auto"/>
          </w:tcPr>
          <w:p w:rsidR="007D2393" w:rsidRDefault="007D2393" w:rsidP="00BA13F2">
            <w:r>
              <w:t>Amount Removed</w:t>
            </w:r>
          </w:p>
        </w:tc>
        <w:tc>
          <w:tcPr>
            <w:tcW w:w="1343" w:type="dxa"/>
            <w:shd w:val="clear" w:color="auto" w:fill="auto"/>
          </w:tcPr>
          <w:p w:rsidR="007D2393" w:rsidRDefault="00422E05" w:rsidP="007F266B">
            <w:pPr>
              <w:jc w:val="right"/>
            </w:pPr>
            <w:r>
              <w:t>£1,492.60</w:t>
            </w:r>
          </w:p>
        </w:tc>
        <w:tc>
          <w:tcPr>
            <w:tcW w:w="2909" w:type="dxa"/>
            <w:shd w:val="clear" w:color="auto" w:fill="auto"/>
          </w:tcPr>
          <w:p w:rsidR="007D2393" w:rsidRDefault="00121887" w:rsidP="00422E05">
            <w:r>
              <w:t>Amount Received</w:t>
            </w:r>
          </w:p>
        </w:tc>
        <w:tc>
          <w:tcPr>
            <w:tcW w:w="1284" w:type="dxa"/>
            <w:shd w:val="clear" w:color="auto" w:fill="auto"/>
          </w:tcPr>
          <w:p w:rsidR="007D2393" w:rsidRDefault="00422E05" w:rsidP="007F266B">
            <w:pPr>
              <w:jc w:val="right"/>
            </w:pPr>
            <w:r>
              <w:t>£1,053.60</w:t>
            </w:r>
          </w:p>
        </w:tc>
      </w:tr>
    </w:tbl>
    <w:p w:rsidR="00BA13F2" w:rsidRPr="00BA13F2" w:rsidRDefault="00BA13F2" w:rsidP="00BA13F2"/>
    <w:p w:rsidR="00775E3C" w:rsidRDefault="00DC7091" w:rsidP="0000350F">
      <w:pPr>
        <w:pStyle w:val="Heading2"/>
        <w:ind w:left="720" w:hanging="720"/>
        <w:jc w:val="both"/>
      </w:pPr>
      <w:r>
        <w:t>If the pupil is eligible for pupil premium, the same pro rata funding adjustment is made.</w:t>
      </w:r>
    </w:p>
    <w:p w:rsidR="00DC7091" w:rsidRDefault="00DC7091" w:rsidP="001A024E">
      <w:pPr>
        <w:pStyle w:val="Heading2"/>
        <w:ind w:left="720" w:hanging="720"/>
        <w:jc w:val="both"/>
        <w:rPr>
          <w:b/>
        </w:rPr>
      </w:pPr>
      <w:r>
        <w:t xml:space="preserve">The adjustment is for the </w:t>
      </w:r>
      <w:r w:rsidRPr="00833695">
        <w:rPr>
          <w:b/>
        </w:rPr>
        <w:t>current financial year</w:t>
      </w:r>
      <w:r>
        <w:t xml:space="preserve"> only and </w:t>
      </w:r>
      <w:r w:rsidRPr="00DC7091">
        <w:rPr>
          <w:b/>
        </w:rPr>
        <w:t>cannot be applied to subsequent years.</w:t>
      </w:r>
    </w:p>
    <w:p w:rsidR="00DC7091" w:rsidRDefault="00DC7091" w:rsidP="0000350F">
      <w:pPr>
        <w:pStyle w:val="Heading2"/>
        <w:ind w:left="720" w:hanging="720"/>
        <w:jc w:val="both"/>
      </w:pPr>
      <w:r>
        <w:lastRenderedPageBreak/>
        <w:t xml:space="preserve">If </w:t>
      </w:r>
      <w:r w:rsidR="004B458B">
        <w:t>the exclusion takes place after 1 April in a school year where the pupil would normally have left at the end of that school year, the calculation is based just on the number of weeks left until the end of the school year.</w:t>
      </w:r>
    </w:p>
    <w:p w:rsidR="009D3078" w:rsidRPr="009D3078" w:rsidRDefault="009D3078" w:rsidP="0000350F">
      <w:pPr>
        <w:pStyle w:val="Heading2"/>
        <w:ind w:left="720" w:hanging="720"/>
        <w:jc w:val="both"/>
      </w:pPr>
      <w:r>
        <w:t>The review panel may also issue a Financial Adjustment Order if relevant, which would be an additional adjustment of £4,000.</w:t>
      </w:r>
    </w:p>
    <w:p w:rsidR="004B458B" w:rsidRDefault="004B458B" w:rsidP="004B458B">
      <w:pPr>
        <w:pStyle w:val="Heading2"/>
      </w:pPr>
      <w:r>
        <w:t>The process for the funding transfer is as follows:</w:t>
      </w:r>
    </w:p>
    <w:p w:rsidR="00422E05" w:rsidRDefault="00422E05" w:rsidP="00422E05">
      <w:pPr>
        <w:ind w:left="720"/>
      </w:pPr>
      <w:r>
        <w:t>The WBC Exclusion Officer will inform WBC accountancy of the exclusion – this will include the pupil’s name, movements, and relevant dates.</w:t>
      </w:r>
    </w:p>
    <w:p w:rsidR="00422E05" w:rsidRPr="00422E05" w:rsidRDefault="00422E05" w:rsidP="00422E05">
      <w:pPr>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828"/>
      </w:tblGrid>
      <w:tr w:rsidR="004B458B" w:rsidTr="007F266B">
        <w:tc>
          <w:tcPr>
            <w:tcW w:w="4110" w:type="dxa"/>
            <w:shd w:val="clear" w:color="auto" w:fill="auto"/>
          </w:tcPr>
          <w:p w:rsidR="004B458B" w:rsidRDefault="004B458B" w:rsidP="004B458B">
            <w:r>
              <w:t>Maintained to Maintained</w:t>
            </w:r>
          </w:p>
        </w:tc>
        <w:tc>
          <w:tcPr>
            <w:tcW w:w="3828" w:type="dxa"/>
            <w:shd w:val="clear" w:color="auto" w:fill="auto"/>
          </w:tcPr>
          <w:p w:rsidR="004B458B" w:rsidRDefault="009750A9" w:rsidP="009750A9">
            <w:r>
              <w:t>The LA</w:t>
            </w:r>
            <w:r w:rsidR="00422E05">
              <w:t xml:space="preserve"> will transfer funding via j</w:t>
            </w:r>
            <w:r w:rsidR="004B458B">
              <w:t xml:space="preserve">ournal </w:t>
            </w:r>
            <w:r w:rsidR="00422E05">
              <w:t>and inform the relevant schools</w:t>
            </w:r>
            <w:r w:rsidR="004B458B">
              <w:t>.</w:t>
            </w:r>
          </w:p>
        </w:tc>
      </w:tr>
      <w:tr w:rsidR="004B458B" w:rsidTr="007F266B">
        <w:tc>
          <w:tcPr>
            <w:tcW w:w="4110" w:type="dxa"/>
            <w:shd w:val="clear" w:color="auto" w:fill="auto"/>
          </w:tcPr>
          <w:p w:rsidR="004B458B" w:rsidRDefault="004B458B" w:rsidP="004B458B">
            <w:r>
              <w:t>Maintained to Academy</w:t>
            </w:r>
          </w:p>
        </w:tc>
        <w:tc>
          <w:tcPr>
            <w:tcW w:w="3828" w:type="dxa"/>
            <w:shd w:val="clear" w:color="auto" w:fill="auto"/>
          </w:tcPr>
          <w:p w:rsidR="004B458B" w:rsidRDefault="009750A9" w:rsidP="009750A9">
            <w:r>
              <w:t xml:space="preserve">The LA will remove funding from the </w:t>
            </w:r>
            <w:r w:rsidR="00991EE4">
              <w:t xml:space="preserve">maintained </w:t>
            </w:r>
            <w:r>
              <w:t>school via journal, and make a payment to the academy (usually with another regular payment).</w:t>
            </w:r>
          </w:p>
        </w:tc>
      </w:tr>
      <w:tr w:rsidR="004B458B" w:rsidTr="007F266B">
        <w:tc>
          <w:tcPr>
            <w:tcW w:w="4110" w:type="dxa"/>
            <w:shd w:val="clear" w:color="auto" w:fill="auto"/>
          </w:tcPr>
          <w:p w:rsidR="004B458B" w:rsidRDefault="004B458B" w:rsidP="004B458B">
            <w:r>
              <w:t>Academy to Maintained</w:t>
            </w:r>
          </w:p>
        </w:tc>
        <w:tc>
          <w:tcPr>
            <w:tcW w:w="3828" w:type="dxa"/>
            <w:shd w:val="clear" w:color="auto" w:fill="auto"/>
          </w:tcPr>
          <w:p w:rsidR="004B458B" w:rsidRDefault="009750A9" w:rsidP="009750A9">
            <w:r>
              <w:t>The LA will invoice the academy, and make a payment to the m</w:t>
            </w:r>
            <w:r w:rsidR="004B458B">
              <w:t xml:space="preserve">aintained school </w:t>
            </w:r>
            <w:r>
              <w:t>via a journal.</w:t>
            </w:r>
          </w:p>
        </w:tc>
      </w:tr>
      <w:tr w:rsidR="004B458B" w:rsidTr="007F266B">
        <w:tc>
          <w:tcPr>
            <w:tcW w:w="4110" w:type="dxa"/>
            <w:shd w:val="clear" w:color="auto" w:fill="auto"/>
          </w:tcPr>
          <w:p w:rsidR="004B458B" w:rsidRDefault="004B458B" w:rsidP="004B458B">
            <w:r>
              <w:t>Academy to Academy</w:t>
            </w:r>
          </w:p>
        </w:tc>
        <w:tc>
          <w:tcPr>
            <w:tcW w:w="3828" w:type="dxa"/>
            <w:shd w:val="clear" w:color="auto" w:fill="auto"/>
          </w:tcPr>
          <w:p w:rsidR="004B458B" w:rsidRDefault="009750A9" w:rsidP="009750A9">
            <w:r>
              <w:t>The LA will invoice the excluding academy, and make a payment to the receiving academy (usually with another regular payment).</w:t>
            </w:r>
          </w:p>
        </w:tc>
      </w:tr>
    </w:tbl>
    <w:p w:rsidR="004B458B" w:rsidRDefault="004B458B" w:rsidP="004B458B"/>
    <w:p w:rsidR="004B458B" w:rsidRDefault="009750A9" w:rsidP="0000350F">
      <w:pPr>
        <w:pStyle w:val="Heading2"/>
        <w:ind w:left="720" w:hanging="720"/>
        <w:jc w:val="both"/>
      </w:pPr>
      <w:r>
        <w:t xml:space="preserve">The reason the funding has to flow via the LA is because the pupil may not always move straight to another school or </w:t>
      </w:r>
      <w:r w:rsidR="00C74DBA">
        <w:t xml:space="preserve">it </w:t>
      </w:r>
      <w:r>
        <w:t>may involve a</w:t>
      </w:r>
      <w:r w:rsidR="00D517F4">
        <w:t xml:space="preserve"> school in another LA</w:t>
      </w:r>
      <w:r>
        <w:t xml:space="preserve">. </w:t>
      </w:r>
      <w:r w:rsidR="004B458B">
        <w:t xml:space="preserve">If </w:t>
      </w:r>
      <w:r>
        <w:t xml:space="preserve">a </w:t>
      </w:r>
      <w:r w:rsidR="004B458B">
        <w:t xml:space="preserve">pupil goes to </w:t>
      </w:r>
      <w:r>
        <w:t xml:space="preserve">a </w:t>
      </w:r>
      <w:r w:rsidR="004B458B">
        <w:t>PRU first</w:t>
      </w:r>
      <w:r>
        <w:t xml:space="preserve">, the LA receives the funding for this period to go towards the payment of the place at the PRU. The LA is also responsible for payments to </w:t>
      </w:r>
      <w:r w:rsidR="00C74DBA">
        <w:t xml:space="preserve">(and from) </w:t>
      </w:r>
      <w:r>
        <w:t xml:space="preserve">other LAs as per the </w:t>
      </w:r>
      <w:r w:rsidR="00C74DBA">
        <w:t>‘</w:t>
      </w:r>
      <w:r w:rsidR="001A0C91">
        <w:t>Education (Amount to Follow Permanently Excluded Pupil) Regulations</w:t>
      </w:r>
      <w:r w:rsidR="00C74DBA">
        <w:t>’</w:t>
      </w:r>
      <w:r w:rsidR="001A0C91">
        <w:t xml:space="preserve"> 1999 and 2001.</w:t>
      </w:r>
    </w:p>
    <w:p w:rsidR="004B458B" w:rsidRDefault="00C74DBA" w:rsidP="00C74DBA">
      <w:pPr>
        <w:pStyle w:val="Heading1"/>
      </w:pPr>
      <w:r>
        <w:t>Fresh Starts</w:t>
      </w:r>
    </w:p>
    <w:p w:rsidR="00C74DBA" w:rsidRDefault="00D517F4" w:rsidP="0000350F">
      <w:pPr>
        <w:pStyle w:val="Heading2"/>
        <w:ind w:left="720" w:hanging="720"/>
        <w:jc w:val="both"/>
      </w:pPr>
      <w:r>
        <w:t>Fresh starts are agree</w:t>
      </w:r>
      <w:r w:rsidR="000944B0">
        <w:t>d</w:t>
      </w:r>
      <w:r>
        <w:t xml:space="preserve"> between the head teachers of two schools. The decision to </w:t>
      </w:r>
      <w:r w:rsidR="000944B0">
        <w:t xml:space="preserve">move </w:t>
      </w:r>
      <w:r>
        <w:t xml:space="preserve">a pupil </w:t>
      </w:r>
      <w:r w:rsidR="000944B0">
        <w:t xml:space="preserve">between </w:t>
      </w:r>
      <w:r>
        <w:t>school</w:t>
      </w:r>
      <w:r w:rsidR="000944B0">
        <w:t>s</w:t>
      </w:r>
      <w:r>
        <w:t xml:space="preserve"> </w:t>
      </w:r>
      <w:r w:rsidR="00EB5319">
        <w:t xml:space="preserve">(rather than formally exclude the pupil) </w:t>
      </w:r>
      <w:r>
        <w:t xml:space="preserve">will usually </w:t>
      </w:r>
      <w:r w:rsidR="00725F45">
        <w:t xml:space="preserve">(but not always) </w:t>
      </w:r>
      <w:r>
        <w:t xml:space="preserve">take place at a Pupil Placement Panel meeting. At this meeting, any funding transfers will also be agreed. As per the Fair Access Protocol, the funding transfer will only take place if after the trial period (usually 6 weeks) the pupil is then </w:t>
      </w:r>
      <w:r w:rsidR="009D3078">
        <w:t xml:space="preserve">formally </w:t>
      </w:r>
      <w:r>
        <w:t xml:space="preserve">admitted permanently to the new school. The funding </w:t>
      </w:r>
      <w:r w:rsidR="00725F45">
        <w:t xml:space="preserve">transfer </w:t>
      </w:r>
      <w:r>
        <w:t>will be backdated to the start of the trial period.</w:t>
      </w:r>
    </w:p>
    <w:p w:rsidR="00725F45" w:rsidRDefault="00121887" w:rsidP="0000350F">
      <w:pPr>
        <w:pStyle w:val="Heading2"/>
        <w:ind w:left="720" w:hanging="720"/>
        <w:jc w:val="both"/>
      </w:pPr>
      <w:r>
        <w:t>For all fresh starts i</w:t>
      </w:r>
      <w:r w:rsidR="00725F45">
        <w:t xml:space="preserve">t is the responsibility of the two schools involved to </w:t>
      </w:r>
      <w:r>
        <w:t xml:space="preserve">make the financial arrangements - the receiving school will </w:t>
      </w:r>
      <w:r w:rsidR="00725F45">
        <w:t>calculate</w:t>
      </w:r>
      <w:r>
        <w:t xml:space="preserve"> the amount due and </w:t>
      </w:r>
      <w:r w:rsidR="00725F45">
        <w:t xml:space="preserve">invoice </w:t>
      </w:r>
      <w:r>
        <w:t>the school the pupil has come from, and th</w:t>
      </w:r>
      <w:r w:rsidR="00EB5319">
        <w:t>e removing</w:t>
      </w:r>
      <w:r>
        <w:t xml:space="preserve"> school will agree the amount </w:t>
      </w:r>
      <w:r w:rsidR="00725F45">
        <w:t>and make the payment</w:t>
      </w:r>
      <w:r>
        <w:t>.</w:t>
      </w:r>
      <w:r w:rsidR="00725F45">
        <w:t xml:space="preserve"> If it is between two maintained schools an internal transfer can be used. The LA will not be involved at all in the transaction.</w:t>
      </w:r>
      <w:r>
        <w:t xml:space="preserve"> </w:t>
      </w:r>
    </w:p>
    <w:p w:rsidR="00BF674E" w:rsidRDefault="00D517F4" w:rsidP="0000350F">
      <w:pPr>
        <w:pStyle w:val="Heading2"/>
        <w:ind w:left="720" w:hanging="720"/>
        <w:jc w:val="both"/>
      </w:pPr>
      <w:r>
        <w:t>Although it will be determined at the meeting</w:t>
      </w:r>
      <w:r w:rsidR="00725F45">
        <w:t xml:space="preserve"> or at the time the agreement is made</w:t>
      </w:r>
      <w:r>
        <w:t xml:space="preserve"> the basis of any funding transfer, it </w:t>
      </w:r>
      <w:r w:rsidR="00EB5319">
        <w:t>is</w:t>
      </w:r>
      <w:r>
        <w:t xml:space="preserve"> usually </w:t>
      </w:r>
      <w:r w:rsidR="000944B0">
        <w:t xml:space="preserve">agreed </w:t>
      </w:r>
      <w:r>
        <w:t xml:space="preserve">that the funding the </w:t>
      </w:r>
      <w:r w:rsidR="00EB5319">
        <w:t xml:space="preserve">removing </w:t>
      </w:r>
      <w:r>
        <w:lastRenderedPageBreak/>
        <w:t xml:space="preserve">school has </w:t>
      </w:r>
      <w:r w:rsidR="00BF674E">
        <w:t xml:space="preserve">actually </w:t>
      </w:r>
      <w:r>
        <w:t>r</w:t>
      </w:r>
      <w:r w:rsidR="00BF674E">
        <w:t xml:space="preserve">eceived for the pupil </w:t>
      </w:r>
      <w:r w:rsidR="00EB5319">
        <w:t>will</w:t>
      </w:r>
      <w:r w:rsidR="000944B0">
        <w:t xml:space="preserve"> be </w:t>
      </w:r>
      <w:r w:rsidR="00BF674E">
        <w:t xml:space="preserve">transferred to the receiving school. This could be subject to different interpretations, with the term “AWPU” commonly used, and with no clear </w:t>
      </w:r>
      <w:r w:rsidR="00991EE4">
        <w:t xml:space="preserve">understanding of the </w:t>
      </w:r>
      <w:r w:rsidR="00BF674E">
        <w:t>relevant dates</w:t>
      </w:r>
      <w:r w:rsidR="00991EE4">
        <w:t xml:space="preserve"> that drive the funding</w:t>
      </w:r>
      <w:r w:rsidR="00BF674E">
        <w:t>.</w:t>
      </w:r>
    </w:p>
    <w:p w:rsidR="00D517F4" w:rsidRDefault="00BF674E" w:rsidP="0000350F">
      <w:pPr>
        <w:pStyle w:val="Heading2"/>
        <w:ind w:left="720" w:hanging="720"/>
        <w:jc w:val="both"/>
      </w:pPr>
      <w:r>
        <w:t>In the absence of a more specific financial arrangement</w:t>
      </w:r>
      <w:r w:rsidR="000944B0">
        <w:t xml:space="preserve"> (e.g. a fixed sum could be agreed</w:t>
      </w:r>
      <w:r w:rsidR="008A7CF7">
        <w:t xml:space="preserve"> between the two head teachers</w:t>
      </w:r>
      <w:r w:rsidR="000944B0">
        <w:t>)</w:t>
      </w:r>
      <w:r>
        <w:t>, the following paragraphs will apply.</w:t>
      </w:r>
    </w:p>
    <w:p w:rsidR="00BF674E" w:rsidRDefault="00BF674E" w:rsidP="0000350F">
      <w:pPr>
        <w:pStyle w:val="Heading2"/>
        <w:ind w:left="720" w:hanging="720"/>
        <w:jc w:val="both"/>
      </w:pPr>
      <w:r>
        <w:t xml:space="preserve">The </w:t>
      </w:r>
      <w:r w:rsidR="00725F45">
        <w:t xml:space="preserve">average </w:t>
      </w:r>
      <w:r w:rsidRPr="00725F45">
        <w:rPr>
          <w:b/>
        </w:rPr>
        <w:t>pupil led</w:t>
      </w:r>
      <w:r>
        <w:t xml:space="preserve"> funding </w:t>
      </w:r>
      <w:r w:rsidR="00725F45">
        <w:t xml:space="preserve">for the school </w:t>
      </w:r>
      <w:r w:rsidR="00EB5319">
        <w:t xml:space="preserve">the pupil is moving from </w:t>
      </w:r>
      <w:r>
        <w:t xml:space="preserve">will be the funding to be transferred – </w:t>
      </w:r>
      <w:r w:rsidR="00991EE4">
        <w:t xml:space="preserve">calculated </w:t>
      </w:r>
      <w:r>
        <w:t>as set out above in paragraph 2.4. If the pupil is eligible for pupil premium grant, this will also be transferred.</w:t>
      </w:r>
    </w:p>
    <w:p w:rsidR="00BF674E" w:rsidRDefault="000944B0" w:rsidP="0000350F">
      <w:pPr>
        <w:pStyle w:val="Heading2"/>
        <w:ind w:left="720" w:hanging="720"/>
        <w:jc w:val="both"/>
      </w:pPr>
      <w:r>
        <w:t xml:space="preserve">The funding to be transferred will be the funding </w:t>
      </w:r>
      <w:r w:rsidR="008A7CF7">
        <w:t xml:space="preserve">for the pupil that </w:t>
      </w:r>
      <w:r>
        <w:t xml:space="preserve">the school has </w:t>
      </w:r>
      <w:r w:rsidR="00725F45" w:rsidRPr="00725F45">
        <w:rPr>
          <w:b/>
        </w:rPr>
        <w:t xml:space="preserve">already received </w:t>
      </w:r>
      <w:r w:rsidR="008A7CF7">
        <w:rPr>
          <w:b/>
        </w:rPr>
        <w:t xml:space="preserve">in the current </w:t>
      </w:r>
      <w:r w:rsidR="00EB5319">
        <w:rPr>
          <w:b/>
        </w:rPr>
        <w:t xml:space="preserve">financial </w:t>
      </w:r>
      <w:r w:rsidR="008A7CF7">
        <w:rPr>
          <w:b/>
        </w:rPr>
        <w:t>year from the transfer date, plus what the school</w:t>
      </w:r>
      <w:r w:rsidR="00725F45" w:rsidRPr="00725F45">
        <w:rPr>
          <w:b/>
        </w:rPr>
        <w:t xml:space="preserve"> will </w:t>
      </w:r>
      <w:r w:rsidRPr="00725F45">
        <w:rPr>
          <w:b/>
        </w:rPr>
        <w:t>actually receive</w:t>
      </w:r>
      <w:r>
        <w:t xml:space="preserve"> </w:t>
      </w:r>
      <w:r w:rsidR="008A7CF7" w:rsidRPr="008A7CF7">
        <w:rPr>
          <w:b/>
        </w:rPr>
        <w:t>in the f</w:t>
      </w:r>
      <w:r w:rsidR="00EB5319">
        <w:rPr>
          <w:b/>
        </w:rPr>
        <w:t>ollowing financial year if relevant</w:t>
      </w:r>
      <w:r>
        <w:t xml:space="preserve">, so </w:t>
      </w:r>
      <w:r w:rsidR="009D3078">
        <w:t xml:space="preserve">is </w:t>
      </w:r>
      <w:r>
        <w:t xml:space="preserve">based on </w:t>
      </w:r>
      <w:r w:rsidR="00991EE4">
        <w:t xml:space="preserve">when the transfer takes place </w:t>
      </w:r>
      <w:r w:rsidR="00EB5319">
        <w:t xml:space="preserve">within the financial year </w:t>
      </w:r>
      <w:r w:rsidR="00991EE4">
        <w:t xml:space="preserve">in relation to </w:t>
      </w:r>
      <w:r>
        <w:t>the October census. Thus</w:t>
      </w:r>
      <w:r w:rsidR="009D3078">
        <w:t xml:space="preserve"> there </w:t>
      </w:r>
      <w:r w:rsidR="00725F45">
        <w:t>are</w:t>
      </w:r>
      <w:r w:rsidR="009D3078">
        <w:t xml:space="preserve"> the following two scenarios:</w:t>
      </w:r>
    </w:p>
    <w:p w:rsidR="009D3078" w:rsidRDefault="009D3078" w:rsidP="009D3078">
      <w:pPr>
        <w:numPr>
          <w:ilvl w:val="0"/>
          <w:numId w:val="9"/>
        </w:numPr>
      </w:pPr>
      <w:r>
        <w:t xml:space="preserve">For transfers occurring </w:t>
      </w:r>
      <w:r w:rsidRPr="000B2E94">
        <w:rPr>
          <w:b/>
        </w:rPr>
        <w:t>before</w:t>
      </w:r>
      <w:r>
        <w:t xml:space="preserve"> the October census, the pupil led funding is pro rata (for the actual number of weeks) to the end of the financial</w:t>
      </w:r>
      <w:r w:rsidR="00991EE4">
        <w:t xml:space="preserve"> year (maintained) or </w:t>
      </w:r>
      <w:r w:rsidR="00833695">
        <w:t>academic</w:t>
      </w:r>
      <w:r>
        <w:t xml:space="preserve"> year</w:t>
      </w:r>
      <w:r w:rsidR="00991EE4">
        <w:t xml:space="preserve"> (academies)</w:t>
      </w:r>
      <w:r>
        <w:t>, assuming the pupil is then recorded in the receiving school’s census in the following October, otherwise scenario 2 will apply.</w:t>
      </w:r>
    </w:p>
    <w:p w:rsidR="00833695" w:rsidRDefault="00833695" w:rsidP="00833695">
      <w:pPr>
        <w:ind w:left="1080"/>
      </w:pPr>
    </w:p>
    <w:p w:rsidR="009D3078" w:rsidRDefault="009D3078" w:rsidP="009D3078">
      <w:pPr>
        <w:numPr>
          <w:ilvl w:val="0"/>
          <w:numId w:val="9"/>
        </w:numPr>
      </w:pPr>
      <w:r>
        <w:t xml:space="preserve">For transfers occurring </w:t>
      </w:r>
      <w:r w:rsidRPr="00426F07">
        <w:rPr>
          <w:b/>
        </w:rPr>
        <w:t>after</w:t>
      </w:r>
      <w:r>
        <w:t xml:space="preserve"> the October census, the pupil led funding is as above, </w:t>
      </w:r>
      <w:r w:rsidRPr="00991EE4">
        <w:rPr>
          <w:b/>
        </w:rPr>
        <w:t>plus</w:t>
      </w:r>
      <w:r>
        <w:t xml:space="preserve"> the total pupil led funding for the </w:t>
      </w:r>
      <w:r w:rsidR="00991EE4">
        <w:t xml:space="preserve">whole of the </w:t>
      </w:r>
      <w:r>
        <w:t>following financial</w:t>
      </w:r>
      <w:r w:rsidR="00991EE4">
        <w:t xml:space="preserve"> year (maintained) or </w:t>
      </w:r>
      <w:r w:rsidR="00833695">
        <w:t>academic</w:t>
      </w:r>
      <w:r>
        <w:t xml:space="preserve"> year</w:t>
      </w:r>
      <w:r w:rsidR="00991EE4">
        <w:t xml:space="preserve"> (academies)</w:t>
      </w:r>
      <w:r>
        <w:t>, assuming the pupil was still included in the removing school’s previous October census, otherwise scenario 1 will apply.</w:t>
      </w:r>
    </w:p>
    <w:p w:rsidR="009D3078" w:rsidRDefault="009D3078" w:rsidP="009D3078">
      <w:pPr>
        <w:ind w:left="1080"/>
      </w:pPr>
    </w:p>
    <w:p w:rsidR="009D3078" w:rsidRPr="009D3078" w:rsidRDefault="009D3078" w:rsidP="0000350F">
      <w:pPr>
        <w:ind w:left="720"/>
        <w:jc w:val="both"/>
      </w:pPr>
      <w:r>
        <w:t>If in either of these two scenarios the pupil would normally leave at the end of the school year, then the calculation is based on the number of weeks to the end of the school year.</w:t>
      </w:r>
    </w:p>
    <w:p w:rsidR="00BF674E" w:rsidRPr="00BF674E" w:rsidRDefault="00BF674E" w:rsidP="00BF674E"/>
    <w:p w:rsidR="00BF674E" w:rsidRDefault="000B2E94" w:rsidP="0000350F">
      <w:pPr>
        <w:pStyle w:val="Heading2"/>
        <w:ind w:left="720" w:hanging="720"/>
        <w:jc w:val="both"/>
      </w:pPr>
      <w:r>
        <w:t>If the transfer is maintained school to maintained school, the calculation is based on the local authority financial year</w:t>
      </w:r>
      <w:r w:rsidR="00991EE4">
        <w:t xml:space="preserve"> i.e. to the end of March</w:t>
      </w:r>
      <w:r>
        <w:t>.</w:t>
      </w:r>
    </w:p>
    <w:p w:rsidR="000B2E94" w:rsidRDefault="000B2E94" w:rsidP="0000350F">
      <w:pPr>
        <w:pStyle w:val="Heading2"/>
        <w:ind w:left="720" w:hanging="720"/>
        <w:jc w:val="both"/>
      </w:pPr>
      <w:r>
        <w:t xml:space="preserve">If the transfer is academy school to academy school, the calculation is based on the academy financial year </w:t>
      </w:r>
      <w:r w:rsidR="00991EE4">
        <w:t>i.e. to the end of August</w:t>
      </w:r>
      <w:r>
        <w:t>.</w:t>
      </w:r>
    </w:p>
    <w:p w:rsidR="00835761" w:rsidRDefault="00EB5319" w:rsidP="0000350F">
      <w:pPr>
        <w:pStyle w:val="Heading2"/>
        <w:ind w:left="720" w:hanging="720"/>
        <w:jc w:val="both"/>
      </w:pPr>
      <w:r>
        <w:t>T</w:t>
      </w:r>
      <w:r w:rsidR="000B2E94">
        <w:t>ransfer</w:t>
      </w:r>
      <w:r>
        <w:t>s</w:t>
      </w:r>
      <w:r w:rsidR="000B2E94">
        <w:t xml:space="preserve"> between a maintained school and </w:t>
      </w:r>
      <w:r w:rsidR="00D17D10">
        <w:t xml:space="preserve">an </w:t>
      </w:r>
      <w:r w:rsidR="000B2E94">
        <w:t>academy</w:t>
      </w:r>
      <w:r w:rsidR="00D17D10">
        <w:t xml:space="preserve"> is complicated by the fact that they are operating on two different financial years and funding periods. T</w:t>
      </w:r>
      <w:r w:rsidR="00D03EFB">
        <w:t xml:space="preserve">he principal to be adopted is that </w:t>
      </w:r>
      <w:r w:rsidR="000B2E94">
        <w:t xml:space="preserve">a school </w:t>
      </w:r>
      <w:r w:rsidR="00D03EFB">
        <w:t xml:space="preserve">will not </w:t>
      </w:r>
      <w:r w:rsidR="000B2E94">
        <w:t>be required to pay more than they have been funded</w:t>
      </w:r>
      <w:r w:rsidR="00042B55">
        <w:t xml:space="preserve"> for the pupil</w:t>
      </w:r>
      <w:r w:rsidR="000B2E94">
        <w:t xml:space="preserve">, </w:t>
      </w:r>
      <w:r w:rsidR="008A7CF7">
        <w:t xml:space="preserve">and that </w:t>
      </w:r>
      <w:r w:rsidR="00D03EFB">
        <w:t xml:space="preserve">a school </w:t>
      </w:r>
      <w:r w:rsidR="008A7CF7">
        <w:t xml:space="preserve">cannot </w:t>
      </w:r>
      <w:r w:rsidR="000B2E94">
        <w:t xml:space="preserve">be double funded. Thus the maximum a school will transfer out is the amount received for the pupil, and the maximum a school </w:t>
      </w:r>
      <w:r w:rsidR="00835761">
        <w:t>can</w:t>
      </w:r>
      <w:r w:rsidR="000B2E94">
        <w:t xml:space="preserve"> receive is for the </w:t>
      </w:r>
      <w:r w:rsidR="00835761">
        <w:t>missing</w:t>
      </w:r>
      <w:r w:rsidR="000B2E94">
        <w:t xml:space="preserve"> funding</w:t>
      </w:r>
      <w:r w:rsidR="00426F07">
        <w:t xml:space="preserve"> for the pupil transferred.</w:t>
      </w:r>
      <w:r w:rsidR="00991EE4">
        <w:t xml:space="preserve"> </w:t>
      </w:r>
      <w:r w:rsidR="00835761">
        <w:t xml:space="preserve">Therefore the funding transfer has to be calculated to the end of March in both </w:t>
      </w:r>
      <w:r w:rsidR="00D17D10">
        <w:t xml:space="preserve">of these </w:t>
      </w:r>
      <w:r w:rsidR="00835761">
        <w:t xml:space="preserve">scenarios. </w:t>
      </w:r>
    </w:p>
    <w:p w:rsidR="00BF674E" w:rsidRDefault="00725F45" w:rsidP="00BF674E">
      <w:pPr>
        <w:pStyle w:val="Heading2"/>
      </w:pPr>
      <w:r>
        <w:t xml:space="preserve">The following </w:t>
      </w:r>
      <w:r w:rsidR="00835761">
        <w:t xml:space="preserve">provides an </w:t>
      </w:r>
      <w:r>
        <w:t>example</w:t>
      </w:r>
      <w:r w:rsidR="00835761">
        <w:t xml:space="preserve"> of the calculation for each scenario:</w:t>
      </w:r>
    </w:p>
    <w:p w:rsidR="00835761" w:rsidRDefault="008A7CF7" w:rsidP="008A7CF7">
      <w:pPr>
        <w:ind w:left="720"/>
      </w:pPr>
      <w:r>
        <w:t>In this example t</w:t>
      </w:r>
      <w:r w:rsidR="00835761">
        <w:t>he annual pupil led funding is £4,</w:t>
      </w:r>
      <w:r w:rsidR="00042B55">
        <w:t>4</w:t>
      </w:r>
      <w:r w:rsidR="00835761">
        <w:t xml:space="preserve">00 </w:t>
      </w:r>
      <w:r w:rsidR="00042B55">
        <w:t xml:space="preserve">in 2017/18 and £4,500 </w:t>
      </w:r>
      <w:r w:rsidR="00835761">
        <w:t xml:space="preserve">in </w:t>
      </w:r>
      <w:r w:rsidR="00042B55">
        <w:t>2018/19</w:t>
      </w:r>
      <w:r w:rsidR="0048291D">
        <w:t>.</w:t>
      </w:r>
    </w:p>
    <w:p w:rsidR="00D03EFB" w:rsidRDefault="00D03EFB" w:rsidP="0048291D">
      <w:pPr>
        <w:ind w:left="720"/>
      </w:pPr>
    </w:p>
    <w:p w:rsidR="0048291D" w:rsidRDefault="0048291D" w:rsidP="0048291D">
      <w:pPr>
        <w:ind w:left="720"/>
      </w:pPr>
      <w:r>
        <w:lastRenderedPageBreak/>
        <w:t xml:space="preserve">The Census date which drives the funding for the </w:t>
      </w:r>
      <w:r w:rsidRPr="00D03EFB">
        <w:rPr>
          <w:i/>
        </w:rPr>
        <w:t>following</w:t>
      </w:r>
      <w:r>
        <w:t xml:space="preserve"> financial </w:t>
      </w:r>
      <w:r w:rsidR="00D03EFB">
        <w:t xml:space="preserve">year (commencing 1/4/18) </w:t>
      </w:r>
      <w:r>
        <w:t xml:space="preserve">or academic year </w:t>
      </w:r>
      <w:r w:rsidR="00D03EFB">
        <w:t xml:space="preserve">(commencing 1/9/18) </w:t>
      </w:r>
      <w:r>
        <w:t>is 5</w:t>
      </w:r>
      <w:r w:rsidRPr="0048291D">
        <w:rPr>
          <w:vertAlign w:val="superscript"/>
        </w:rPr>
        <w:t>th</w:t>
      </w:r>
      <w:r>
        <w:t xml:space="preserve"> October 2017.</w:t>
      </w:r>
    </w:p>
    <w:p w:rsidR="00D03EFB" w:rsidRDefault="00D03EFB" w:rsidP="0048291D">
      <w:pPr>
        <w:ind w:left="720"/>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410"/>
      </w:tblGrid>
      <w:tr w:rsidR="00D17D10" w:rsidTr="008103F7">
        <w:tc>
          <w:tcPr>
            <w:tcW w:w="2268" w:type="dxa"/>
            <w:shd w:val="clear" w:color="auto" w:fill="auto"/>
          </w:tcPr>
          <w:p w:rsidR="00D03EFB" w:rsidRDefault="00D03EFB" w:rsidP="00835761"/>
        </w:tc>
        <w:tc>
          <w:tcPr>
            <w:tcW w:w="2268" w:type="dxa"/>
            <w:shd w:val="clear" w:color="auto" w:fill="auto"/>
          </w:tcPr>
          <w:p w:rsidR="00D03EFB" w:rsidRPr="00D17D10" w:rsidRDefault="00D03EFB" w:rsidP="00D17D10">
            <w:pPr>
              <w:rPr>
                <w:b/>
              </w:rPr>
            </w:pPr>
            <w:r w:rsidRPr="00D17D10">
              <w:rPr>
                <w:b/>
              </w:rPr>
              <w:t xml:space="preserve">Transfer Date of  </w:t>
            </w:r>
            <w:r w:rsidR="00D17D10">
              <w:rPr>
                <w:b/>
              </w:rPr>
              <w:t>2</w:t>
            </w:r>
            <w:r w:rsidR="00D17D10" w:rsidRPr="00D17D10">
              <w:rPr>
                <w:b/>
                <w:vertAlign w:val="superscript"/>
              </w:rPr>
              <w:t>nd</w:t>
            </w:r>
            <w:r w:rsidR="00D17D10">
              <w:rPr>
                <w:b/>
              </w:rPr>
              <w:t xml:space="preserve"> </w:t>
            </w:r>
            <w:r w:rsidRPr="00D17D10">
              <w:rPr>
                <w:b/>
              </w:rPr>
              <w:t>October 2017</w:t>
            </w:r>
            <w:r w:rsidR="00D17D10">
              <w:rPr>
                <w:b/>
              </w:rPr>
              <w:t>. Pupil included on new school’s census on 5</w:t>
            </w:r>
            <w:r w:rsidR="00D17D10" w:rsidRPr="00D17D10">
              <w:rPr>
                <w:b/>
                <w:vertAlign w:val="superscript"/>
              </w:rPr>
              <w:t>th</w:t>
            </w:r>
            <w:r w:rsidR="00D17D10">
              <w:rPr>
                <w:b/>
              </w:rPr>
              <w:t xml:space="preserve"> October</w:t>
            </w:r>
          </w:p>
        </w:tc>
        <w:tc>
          <w:tcPr>
            <w:tcW w:w="2268" w:type="dxa"/>
            <w:shd w:val="clear" w:color="auto" w:fill="auto"/>
          </w:tcPr>
          <w:p w:rsidR="00D03EFB" w:rsidRPr="00D17D10" w:rsidRDefault="00D03EFB" w:rsidP="00D17D10">
            <w:pPr>
              <w:rPr>
                <w:b/>
              </w:rPr>
            </w:pPr>
            <w:r w:rsidRPr="00D17D10">
              <w:rPr>
                <w:b/>
              </w:rPr>
              <w:t xml:space="preserve">Transfer Date of </w:t>
            </w:r>
            <w:r w:rsidR="00D17D10">
              <w:rPr>
                <w:b/>
              </w:rPr>
              <w:t>4</w:t>
            </w:r>
            <w:r w:rsidR="00D17D10" w:rsidRPr="00D17D10">
              <w:rPr>
                <w:b/>
                <w:vertAlign w:val="superscript"/>
              </w:rPr>
              <w:t>th</w:t>
            </w:r>
            <w:r w:rsidR="00D17D10">
              <w:rPr>
                <w:b/>
              </w:rPr>
              <w:t xml:space="preserve"> </w:t>
            </w:r>
            <w:r w:rsidRPr="00D17D10">
              <w:rPr>
                <w:b/>
              </w:rPr>
              <w:t>December 2017</w:t>
            </w:r>
          </w:p>
        </w:tc>
        <w:tc>
          <w:tcPr>
            <w:tcW w:w="2410" w:type="dxa"/>
            <w:shd w:val="clear" w:color="auto" w:fill="auto"/>
          </w:tcPr>
          <w:p w:rsidR="00D03EFB" w:rsidRPr="00D17D10" w:rsidRDefault="00D03EFB" w:rsidP="00D17D10">
            <w:pPr>
              <w:rPr>
                <w:b/>
              </w:rPr>
            </w:pPr>
            <w:r w:rsidRPr="00D17D10">
              <w:rPr>
                <w:b/>
              </w:rPr>
              <w:t xml:space="preserve">Transfer Date of </w:t>
            </w:r>
            <w:r w:rsidR="00D17D10">
              <w:rPr>
                <w:b/>
              </w:rPr>
              <w:t>4</w:t>
            </w:r>
            <w:r w:rsidR="00D17D10" w:rsidRPr="00D17D10">
              <w:rPr>
                <w:b/>
                <w:vertAlign w:val="superscript"/>
              </w:rPr>
              <w:t>th</w:t>
            </w:r>
            <w:r w:rsidR="00D17D10">
              <w:rPr>
                <w:b/>
              </w:rPr>
              <w:t xml:space="preserve"> </w:t>
            </w:r>
            <w:r w:rsidRPr="00D17D10">
              <w:rPr>
                <w:b/>
              </w:rPr>
              <w:t xml:space="preserve"> December 2017 but pupil will leave at end of the current academic year</w:t>
            </w:r>
          </w:p>
        </w:tc>
      </w:tr>
      <w:tr w:rsidR="00D17D10" w:rsidTr="008103F7">
        <w:tc>
          <w:tcPr>
            <w:tcW w:w="2268" w:type="dxa"/>
            <w:shd w:val="clear" w:color="auto" w:fill="auto"/>
          </w:tcPr>
          <w:p w:rsidR="00D03EFB" w:rsidRPr="00D17D10" w:rsidRDefault="00D03EFB" w:rsidP="00835761">
            <w:pPr>
              <w:rPr>
                <w:b/>
              </w:rPr>
            </w:pPr>
            <w:r w:rsidRPr="00D17D10">
              <w:rPr>
                <w:b/>
              </w:rPr>
              <w:t>Maintained to Maintained</w:t>
            </w:r>
          </w:p>
        </w:tc>
        <w:tc>
          <w:tcPr>
            <w:tcW w:w="2268" w:type="dxa"/>
            <w:shd w:val="clear" w:color="auto" w:fill="auto"/>
          </w:tcPr>
          <w:p w:rsidR="00D03EFB" w:rsidRPr="00D17D10" w:rsidRDefault="00D17D10" w:rsidP="00835761">
            <w:pPr>
              <w:rPr>
                <w:sz w:val="20"/>
              </w:rPr>
            </w:pPr>
            <w:r>
              <w:rPr>
                <w:sz w:val="20"/>
              </w:rPr>
              <w:t>2</w:t>
            </w:r>
            <w:r w:rsidR="00D03EFB" w:rsidRPr="00D17D10">
              <w:rPr>
                <w:sz w:val="20"/>
              </w:rPr>
              <w:t>/10/17 to 31/3/18</w:t>
            </w:r>
          </w:p>
          <w:p w:rsidR="00D03EFB" w:rsidRPr="008103F7" w:rsidRDefault="00D03EFB" w:rsidP="00042B55">
            <w:pPr>
              <w:rPr>
                <w:b/>
                <w:sz w:val="20"/>
              </w:rPr>
            </w:pPr>
            <w:r w:rsidRPr="00D17D10">
              <w:rPr>
                <w:sz w:val="20"/>
              </w:rPr>
              <w:t xml:space="preserve">£4,400 x </w:t>
            </w:r>
            <w:r w:rsidR="00D8435E">
              <w:rPr>
                <w:sz w:val="20"/>
              </w:rPr>
              <w:t>26</w:t>
            </w:r>
            <w:r w:rsidRPr="00D17D10">
              <w:rPr>
                <w:sz w:val="20"/>
              </w:rPr>
              <w:t xml:space="preserve"> weeks/52</w:t>
            </w:r>
            <w:r w:rsidR="00D17D10">
              <w:rPr>
                <w:sz w:val="20"/>
              </w:rPr>
              <w:t xml:space="preserve"> = </w:t>
            </w:r>
            <w:r w:rsidR="00D17D10" w:rsidRPr="008103F7">
              <w:rPr>
                <w:b/>
                <w:sz w:val="20"/>
              </w:rPr>
              <w:t>£</w:t>
            </w:r>
            <w:r w:rsidR="00D8435E" w:rsidRPr="008103F7">
              <w:rPr>
                <w:b/>
                <w:sz w:val="20"/>
              </w:rPr>
              <w:t>2,200</w:t>
            </w:r>
          </w:p>
          <w:p w:rsidR="00D03EFB" w:rsidRPr="00D17D10" w:rsidRDefault="00D03EFB" w:rsidP="00042B55">
            <w:pPr>
              <w:rPr>
                <w:sz w:val="20"/>
              </w:rPr>
            </w:pPr>
            <w:r w:rsidRPr="00D17D10">
              <w:rPr>
                <w:sz w:val="20"/>
              </w:rPr>
              <w:t xml:space="preserve"> </w:t>
            </w:r>
          </w:p>
        </w:tc>
        <w:tc>
          <w:tcPr>
            <w:tcW w:w="2268" w:type="dxa"/>
            <w:shd w:val="clear" w:color="auto" w:fill="auto"/>
          </w:tcPr>
          <w:p w:rsidR="00D03EFB" w:rsidRPr="00D17D10" w:rsidRDefault="00D17D10" w:rsidP="00835761">
            <w:pPr>
              <w:rPr>
                <w:sz w:val="20"/>
              </w:rPr>
            </w:pPr>
            <w:r>
              <w:rPr>
                <w:sz w:val="20"/>
              </w:rPr>
              <w:t>4</w:t>
            </w:r>
            <w:r w:rsidR="00D03EFB" w:rsidRPr="00D17D10">
              <w:rPr>
                <w:sz w:val="20"/>
              </w:rPr>
              <w:t>/12/17 to 31/3/19</w:t>
            </w:r>
          </w:p>
          <w:p w:rsidR="00D03EFB" w:rsidRPr="00D17D10" w:rsidRDefault="00D03EFB" w:rsidP="00042B55">
            <w:pPr>
              <w:rPr>
                <w:sz w:val="20"/>
              </w:rPr>
            </w:pPr>
            <w:r w:rsidRPr="00D17D10">
              <w:rPr>
                <w:sz w:val="20"/>
              </w:rPr>
              <w:t xml:space="preserve">£4,400 x </w:t>
            </w:r>
            <w:r w:rsidR="00D8435E">
              <w:rPr>
                <w:sz w:val="20"/>
              </w:rPr>
              <w:t>17</w:t>
            </w:r>
            <w:r w:rsidRPr="00D17D10">
              <w:rPr>
                <w:sz w:val="20"/>
              </w:rPr>
              <w:t xml:space="preserve"> weeks/52</w:t>
            </w:r>
          </w:p>
          <w:p w:rsidR="00D03EFB" w:rsidRDefault="00D03EFB" w:rsidP="0048291D">
            <w:pPr>
              <w:rPr>
                <w:sz w:val="20"/>
              </w:rPr>
            </w:pPr>
            <w:r w:rsidRPr="00D17D10">
              <w:rPr>
                <w:sz w:val="20"/>
              </w:rPr>
              <w:t>£4,500 x 52 weeks/52</w:t>
            </w:r>
          </w:p>
          <w:p w:rsidR="00D8435E" w:rsidRPr="00D17D10" w:rsidRDefault="00D8435E" w:rsidP="008103F7">
            <w:pPr>
              <w:rPr>
                <w:sz w:val="20"/>
              </w:rPr>
            </w:pPr>
            <w:r>
              <w:rPr>
                <w:sz w:val="20"/>
              </w:rPr>
              <w:t xml:space="preserve">= </w:t>
            </w:r>
            <w:r w:rsidRPr="008103F7">
              <w:rPr>
                <w:b/>
                <w:sz w:val="20"/>
              </w:rPr>
              <w:t>£</w:t>
            </w:r>
            <w:r w:rsidR="008103F7" w:rsidRPr="008103F7">
              <w:rPr>
                <w:b/>
                <w:sz w:val="20"/>
              </w:rPr>
              <w:t>5,938</w:t>
            </w:r>
          </w:p>
        </w:tc>
        <w:tc>
          <w:tcPr>
            <w:tcW w:w="2410" w:type="dxa"/>
            <w:shd w:val="clear" w:color="auto" w:fill="auto"/>
          </w:tcPr>
          <w:p w:rsidR="00D03EFB" w:rsidRDefault="00D17D10" w:rsidP="00D17D10">
            <w:pPr>
              <w:rPr>
                <w:sz w:val="20"/>
              </w:rPr>
            </w:pPr>
            <w:r>
              <w:rPr>
                <w:sz w:val="20"/>
              </w:rPr>
              <w:t>4</w:t>
            </w:r>
            <w:r w:rsidR="00D03EFB" w:rsidRPr="00D17D10">
              <w:rPr>
                <w:sz w:val="20"/>
              </w:rPr>
              <w:t>/12/17 to 31/8/18</w:t>
            </w:r>
          </w:p>
          <w:p w:rsidR="008103F7" w:rsidRDefault="008103F7" w:rsidP="00D17D10">
            <w:pPr>
              <w:rPr>
                <w:sz w:val="20"/>
              </w:rPr>
            </w:pPr>
            <w:r>
              <w:rPr>
                <w:sz w:val="20"/>
              </w:rPr>
              <w:t>£4,400 x 17 weeks/52</w:t>
            </w:r>
          </w:p>
          <w:p w:rsidR="008103F7" w:rsidRDefault="008103F7" w:rsidP="00D17D10">
            <w:pPr>
              <w:rPr>
                <w:sz w:val="20"/>
              </w:rPr>
            </w:pPr>
            <w:r>
              <w:rPr>
                <w:sz w:val="20"/>
              </w:rPr>
              <w:t>£4,500 x 22 weeks/52</w:t>
            </w:r>
          </w:p>
          <w:p w:rsidR="008103F7" w:rsidRPr="00D17D10" w:rsidRDefault="008103F7" w:rsidP="00D17D10">
            <w:pPr>
              <w:rPr>
                <w:sz w:val="20"/>
              </w:rPr>
            </w:pPr>
            <w:r>
              <w:rPr>
                <w:sz w:val="20"/>
              </w:rPr>
              <w:t xml:space="preserve">= </w:t>
            </w:r>
            <w:r w:rsidRPr="008103F7">
              <w:rPr>
                <w:b/>
                <w:sz w:val="20"/>
              </w:rPr>
              <w:t>£3,342</w:t>
            </w:r>
          </w:p>
        </w:tc>
      </w:tr>
      <w:tr w:rsidR="00D17D10" w:rsidTr="008103F7">
        <w:tc>
          <w:tcPr>
            <w:tcW w:w="2268" w:type="dxa"/>
            <w:shd w:val="clear" w:color="auto" w:fill="auto"/>
          </w:tcPr>
          <w:p w:rsidR="00D03EFB" w:rsidRPr="00D17D10" w:rsidRDefault="00D03EFB" w:rsidP="00835761">
            <w:pPr>
              <w:rPr>
                <w:b/>
              </w:rPr>
            </w:pPr>
            <w:r w:rsidRPr="00D17D10">
              <w:rPr>
                <w:b/>
              </w:rPr>
              <w:t>Academy to Academy</w:t>
            </w:r>
          </w:p>
        </w:tc>
        <w:tc>
          <w:tcPr>
            <w:tcW w:w="2268" w:type="dxa"/>
            <w:shd w:val="clear" w:color="auto" w:fill="auto"/>
          </w:tcPr>
          <w:p w:rsidR="00D03EFB" w:rsidRPr="00D17D10" w:rsidRDefault="00D17D10" w:rsidP="00835761">
            <w:pPr>
              <w:rPr>
                <w:sz w:val="20"/>
              </w:rPr>
            </w:pPr>
            <w:r>
              <w:rPr>
                <w:sz w:val="20"/>
              </w:rPr>
              <w:t>2</w:t>
            </w:r>
            <w:r w:rsidR="00D03EFB" w:rsidRPr="00D17D10">
              <w:rPr>
                <w:sz w:val="20"/>
              </w:rPr>
              <w:t>/10/17 to 31/8/18</w:t>
            </w:r>
          </w:p>
          <w:p w:rsidR="00D03EFB" w:rsidRPr="008103F7" w:rsidRDefault="00D03EFB" w:rsidP="00835761">
            <w:pPr>
              <w:rPr>
                <w:b/>
                <w:sz w:val="20"/>
              </w:rPr>
            </w:pPr>
            <w:r w:rsidRPr="00D17D10">
              <w:rPr>
                <w:sz w:val="20"/>
              </w:rPr>
              <w:t xml:space="preserve">£4,400 x </w:t>
            </w:r>
            <w:r w:rsidR="00D8435E">
              <w:rPr>
                <w:sz w:val="20"/>
              </w:rPr>
              <w:t>48</w:t>
            </w:r>
            <w:r w:rsidRPr="00D17D10">
              <w:rPr>
                <w:sz w:val="20"/>
              </w:rPr>
              <w:t xml:space="preserve"> weeks/52</w:t>
            </w:r>
            <w:r w:rsidR="00D8435E">
              <w:rPr>
                <w:sz w:val="20"/>
              </w:rPr>
              <w:t xml:space="preserve"> = </w:t>
            </w:r>
            <w:r w:rsidR="00D8435E" w:rsidRPr="008103F7">
              <w:rPr>
                <w:b/>
                <w:sz w:val="20"/>
              </w:rPr>
              <w:t>£4,062</w:t>
            </w:r>
          </w:p>
          <w:p w:rsidR="00D03EFB" w:rsidRPr="00D17D10" w:rsidRDefault="00D03EFB" w:rsidP="00835761">
            <w:pPr>
              <w:rPr>
                <w:sz w:val="20"/>
              </w:rPr>
            </w:pPr>
          </w:p>
        </w:tc>
        <w:tc>
          <w:tcPr>
            <w:tcW w:w="2268" w:type="dxa"/>
            <w:shd w:val="clear" w:color="auto" w:fill="auto"/>
          </w:tcPr>
          <w:p w:rsidR="00D03EFB" w:rsidRPr="00D17D10" w:rsidRDefault="00D17D10" w:rsidP="00835761">
            <w:pPr>
              <w:rPr>
                <w:sz w:val="20"/>
              </w:rPr>
            </w:pPr>
            <w:r>
              <w:rPr>
                <w:sz w:val="20"/>
              </w:rPr>
              <w:t>4</w:t>
            </w:r>
            <w:r w:rsidR="00D03EFB" w:rsidRPr="00D17D10">
              <w:rPr>
                <w:sz w:val="20"/>
              </w:rPr>
              <w:t>/12/17 to 31/8/19</w:t>
            </w:r>
          </w:p>
          <w:p w:rsidR="00D03EFB" w:rsidRPr="00D17D10" w:rsidRDefault="00D03EFB" w:rsidP="00042B55">
            <w:pPr>
              <w:rPr>
                <w:sz w:val="20"/>
              </w:rPr>
            </w:pPr>
            <w:r w:rsidRPr="00D17D10">
              <w:rPr>
                <w:sz w:val="20"/>
              </w:rPr>
              <w:t xml:space="preserve">£4,400 x </w:t>
            </w:r>
            <w:r w:rsidR="008103F7">
              <w:rPr>
                <w:sz w:val="20"/>
              </w:rPr>
              <w:t>39</w:t>
            </w:r>
            <w:r w:rsidRPr="00D17D10">
              <w:rPr>
                <w:sz w:val="20"/>
              </w:rPr>
              <w:t xml:space="preserve"> weeks/52</w:t>
            </w:r>
          </w:p>
          <w:p w:rsidR="00D03EFB" w:rsidRDefault="00D03EFB" w:rsidP="0048291D">
            <w:pPr>
              <w:rPr>
                <w:sz w:val="20"/>
              </w:rPr>
            </w:pPr>
            <w:r w:rsidRPr="00D17D10">
              <w:rPr>
                <w:sz w:val="20"/>
              </w:rPr>
              <w:t>£4,500 x 52 weeks/52</w:t>
            </w:r>
          </w:p>
          <w:p w:rsidR="00D8435E" w:rsidRPr="00D17D10" w:rsidRDefault="00D8435E" w:rsidP="008103F7">
            <w:pPr>
              <w:rPr>
                <w:sz w:val="20"/>
              </w:rPr>
            </w:pPr>
            <w:r>
              <w:rPr>
                <w:sz w:val="20"/>
              </w:rPr>
              <w:t xml:space="preserve">= </w:t>
            </w:r>
            <w:r w:rsidRPr="008103F7">
              <w:rPr>
                <w:b/>
                <w:sz w:val="20"/>
              </w:rPr>
              <w:t>£</w:t>
            </w:r>
            <w:r w:rsidR="008103F7" w:rsidRPr="008103F7">
              <w:rPr>
                <w:b/>
                <w:sz w:val="20"/>
              </w:rPr>
              <w:t>7,800</w:t>
            </w:r>
          </w:p>
        </w:tc>
        <w:tc>
          <w:tcPr>
            <w:tcW w:w="2410" w:type="dxa"/>
            <w:shd w:val="clear" w:color="auto" w:fill="auto"/>
          </w:tcPr>
          <w:p w:rsidR="00D03EFB" w:rsidRDefault="00D17D10" w:rsidP="00D17D10">
            <w:pPr>
              <w:rPr>
                <w:sz w:val="20"/>
              </w:rPr>
            </w:pPr>
            <w:r>
              <w:rPr>
                <w:sz w:val="20"/>
              </w:rPr>
              <w:t>4</w:t>
            </w:r>
            <w:r w:rsidR="00D03EFB" w:rsidRPr="00D17D10">
              <w:rPr>
                <w:sz w:val="20"/>
              </w:rPr>
              <w:t>/12/17 to 31/8/18</w:t>
            </w:r>
          </w:p>
          <w:p w:rsidR="008103F7" w:rsidRDefault="008103F7" w:rsidP="00D17D10">
            <w:pPr>
              <w:rPr>
                <w:sz w:val="20"/>
              </w:rPr>
            </w:pPr>
            <w:r>
              <w:rPr>
                <w:sz w:val="20"/>
              </w:rPr>
              <w:t>£4,400 x 39 weeks/52</w:t>
            </w:r>
          </w:p>
          <w:p w:rsidR="008103F7" w:rsidRPr="00D17D10" w:rsidRDefault="008103F7" w:rsidP="00D17D10">
            <w:pPr>
              <w:rPr>
                <w:sz w:val="20"/>
              </w:rPr>
            </w:pPr>
            <w:r>
              <w:rPr>
                <w:sz w:val="20"/>
              </w:rPr>
              <w:t xml:space="preserve">= </w:t>
            </w:r>
            <w:r w:rsidRPr="008103F7">
              <w:rPr>
                <w:b/>
                <w:sz w:val="20"/>
              </w:rPr>
              <w:t>£3,300</w:t>
            </w:r>
          </w:p>
        </w:tc>
      </w:tr>
      <w:tr w:rsidR="00D17D10" w:rsidTr="008103F7">
        <w:tc>
          <w:tcPr>
            <w:tcW w:w="2268" w:type="dxa"/>
            <w:shd w:val="clear" w:color="auto" w:fill="auto"/>
          </w:tcPr>
          <w:p w:rsidR="00D03EFB" w:rsidRPr="00D17D10" w:rsidRDefault="00D03EFB" w:rsidP="00835761">
            <w:pPr>
              <w:rPr>
                <w:b/>
              </w:rPr>
            </w:pPr>
            <w:r w:rsidRPr="00D17D10">
              <w:rPr>
                <w:b/>
              </w:rPr>
              <w:t>Maintained to Academy</w:t>
            </w:r>
          </w:p>
        </w:tc>
        <w:tc>
          <w:tcPr>
            <w:tcW w:w="2268" w:type="dxa"/>
            <w:shd w:val="clear" w:color="auto" w:fill="auto"/>
          </w:tcPr>
          <w:p w:rsidR="00D03EFB" w:rsidRPr="00D17D10" w:rsidRDefault="00D17D10" w:rsidP="00835761">
            <w:pPr>
              <w:rPr>
                <w:sz w:val="20"/>
              </w:rPr>
            </w:pPr>
            <w:r>
              <w:rPr>
                <w:sz w:val="20"/>
              </w:rPr>
              <w:t>2</w:t>
            </w:r>
            <w:r w:rsidR="00D03EFB" w:rsidRPr="00D17D10">
              <w:rPr>
                <w:sz w:val="20"/>
              </w:rPr>
              <w:t>/10/17 to 31/3/18</w:t>
            </w:r>
          </w:p>
          <w:p w:rsidR="00D03EFB" w:rsidRPr="008103F7" w:rsidRDefault="00D03EFB" w:rsidP="00835761">
            <w:pPr>
              <w:rPr>
                <w:b/>
                <w:sz w:val="20"/>
              </w:rPr>
            </w:pPr>
            <w:r w:rsidRPr="00D17D10">
              <w:rPr>
                <w:sz w:val="20"/>
              </w:rPr>
              <w:t xml:space="preserve">£4,400 x </w:t>
            </w:r>
            <w:r w:rsidR="00D8435E">
              <w:rPr>
                <w:sz w:val="20"/>
              </w:rPr>
              <w:t>26</w:t>
            </w:r>
            <w:r w:rsidRPr="00D17D10">
              <w:rPr>
                <w:sz w:val="20"/>
              </w:rPr>
              <w:t xml:space="preserve"> weeks/52</w:t>
            </w:r>
            <w:r w:rsidR="00D8435E">
              <w:rPr>
                <w:sz w:val="20"/>
              </w:rPr>
              <w:t xml:space="preserve"> = </w:t>
            </w:r>
            <w:r w:rsidR="00D8435E" w:rsidRPr="008103F7">
              <w:rPr>
                <w:b/>
                <w:sz w:val="20"/>
              </w:rPr>
              <w:t>£2,200</w:t>
            </w:r>
          </w:p>
          <w:p w:rsidR="00D03EFB" w:rsidRPr="00D17D10" w:rsidRDefault="00D03EFB" w:rsidP="00835761">
            <w:pPr>
              <w:rPr>
                <w:sz w:val="20"/>
              </w:rPr>
            </w:pPr>
          </w:p>
        </w:tc>
        <w:tc>
          <w:tcPr>
            <w:tcW w:w="2268" w:type="dxa"/>
            <w:shd w:val="clear" w:color="auto" w:fill="auto"/>
          </w:tcPr>
          <w:p w:rsidR="00D03EFB" w:rsidRPr="00D17D10" w:rsidRDefault="00D17D10" w:rsidP="00835761">
            <w:pPr>
              <w:rPr>
                <w:sz w:val="20"/>
              </w:rPr>
            </w:pPr>
            <w:r>
              <w:rPr>
                <w:sz w:val="20"/>
              </w:rPr>
              <w:t>4</w:t>
            </w:r>
            <w:r w:rsidR="00D03EFB" w:rsidRPr="00D17D10">
              <w:rPr>
                <w:sz w:val="20"/>
              </w:rPr>
              <w:t>/12/17 to 31/3/19</w:t>
            </w:r>
          </w:p>
          <w:p w:rsidR="00D03EFB" w:rsidRPr="00D17D10" w:rsidRDefault="00D03EFB" w:rsidP="00042B55">
            <w:pPr>
              <w:rPr>
                <w:sz w:val="20"/>
              </w:rPr>
            </w:pPr>
            <w:r w:rsidRPr="00D17D10">
              <w:rPr>
                <w:sz w:val="20"/>
              </w:rPr>
              <w:t xml:space="preserve">£4,400 x </w:t>
            </w:r>
            <w:r w:rsidR="008103F7">
              <w:rPr>
                <w:sz w:val="20"/>
              </w:rPr>
              <w:t>17</w:t>
            </w:r>
            <w:r w:rsidRPr="00D17D10">
              <w:rPr>
                <w:sz w:val="20"/>
              </w:rPr>
              <w:t xml:space="preserve"> weeks/52</w:t>
            </w:r>
          </w:p>
          <w:p w:rsidR="00D03EFB" w:rsidRDefault="00D03EFB" w:rsidP="00D8435E">
            <w:pPr>
              <w:rPr>
                <w:sz w:val="20"/>
              </w:rPr>
            </w:pPr>
            <w:r w:rsidRPr="00D17D10">
              <w:rPr>
                <w:sz w:val="20"/>
              </w:rPr>
              <w:t xml:space="preserve">£4,500 x </w:t>
            </w:r>
            <w:r w:rsidR="00D8435E">
              <w:rPr>
                <w:sz w:val="20"/>
              </w:rPr>
              <w:t>52</w:t>
            </w:r>
            <w:r w:rsidRPr="00D17D10">
              <w:rPr>
                <w:sz w:val="20"/>
              </w:rPr>
              <w:t xml:space="preserve"> weeks/52</w:t>
            </w:r>
          </w:p>
          <w:p w:rsidR="00D8435E" w:rsidRPr="00D17D10" w:rsidRDefault="00D8435E" w:rsidP="008103F7">
            <w:pPr>
              <w:rPr>
                <w:sz w:val="20"/>
              </w:rPr>
            </w:pPr>
            <w:r>
              <w:rPr>
                <w:sz w:val="20"/>
              </w:rPr>
              <w:t xml:space="preserve">= </w:t>
            </w:r>
            <w:r w:rsidRPr="008103F7">
              <w:rPr>
                <w:b/>
                <w:sz w:val="20"/>
              </w:rPr>
              <w:t>£</w:t>
            </w:r>
            <w:r w:rsidR="008103F7" w:rsidRPr="008103F7">
              <w:rPr>
                <w:b/>
                <w:sz w:val="20"/>
              </w:rPr>
              <w:t>5,938</w:t>
            </w:r>
          </w:p>
        </w:tc>
        <w:tc>
          <w:tcPr>
            <w:tcW w:w="2410" w:type="dxa"/>
            <w:shd w:val="clear" w:color="auto" w:fill="auto"/>
          </w:tcPr>
          <w:p w:rsidR="00D03EFB" w:rsidRDefault="00D17D10" w:rsidP="00D17D10">
            <w:pPr>
              <w:rPr>
                <w:sz w:val="20"/>
              </w:rPr>
            </w:pPr>
            <w:r>
              <w:rPr>
                <w:sz w:val="20"/>
              </w:rPr>
              <w:t>4</w:t>
            </w:r>
            <w:r w:rsidR="00D03EFB" w:rsidRPr="00D17D10">
              <w:rPr>
                <w:sz w:val="20"/>
              </w:rPr>
              <w:t>/12/17 to 31/8/18</w:t>
            </w:r>
          </w:p>
          <w:p w:rsidR="008103F7" w:rsidRDefault="008103F7" w:rsidP="008103F7">
            <w:pPr>
              <w:rPr>
                <w:sz w:val="20"/>
              </w:rPr>
            </w:pPr>
            <w:r>
              <w:rPr>
                <w:sz w:val="20"/>
              </w:rPr>
              <w:t>£4,400 x 17 weeks/52</w:t>
            </w:r>
          </w:p>
          <w:p w:rsidR="008103F7" w:rsidRDefault="008103F7" w:rsidP="008103F7">
            <w:pPr>
              <w:rPr>
                <w:sz w:val="20"/>
              </w:rPr>
            </w:pPr>
            <w:r>
              <w:rPr>
                <w:sz w:val="20"/>
              </w:rPr>
              <w:t>£4,500 x 22 weeks/52</w:t>
            </w:r>
          </w:p>
          <w:p w:rsidR="008103F7" w:rsidRPr="00D17D10" w:rsidRDefault="008103F7" w:rsidP="008103F7">
            <w:pPr>
              <w:rPr>
                <w:sz w:val="20"/>
              </w:rPr>
            </w:pPr>
            <w:r>
              <w:rPr>
                <w:sz w:val="20"/>
              </w:rPr>
              <w:t xml:space="preserve">= </w:t>
            </w:r>
            <w:r w:rsidRPr="008103F7">
              <w:rPr>
                <w:b/>
                <w:sz w:val="20"/>
              </w:rPr>
              <w:t>£3,342</w:t>
            </w:r>
          </w:p>
        </w:tc>
      </w:tr>
      <w:tr w:rsidR="00D17D10" w:rsidTr="008103F7">
        <w:tc>
          <w:tcPr>
            <w:tcW w:w="2268" w:type="dxa"/>
            <w:shd w:val="clear" w:color="auto" w:fill="auto"/>
          </w:tcPr>
          <w:p w:rsidR="00D03EFB" w:rsidRPr="00D17D10" w:rsidRDefault="00D03EFB" w:rsidP="00835761">
            <w:pPr>
              <w:rPr>
                <w:b/>
              </w:rPr>
            </w:pPr>
            <w:r w:rsidRPr="00D17D10">
              <w:rPr>
                <w:b/>
              </w:rPr>
              <w:t>Academy to Maintained</w:t>
            </w:r>
          </w:p>
        </w:tc>
        <w:tc>
          <w:tcPr>
            <w:tcW w:w="2268" w:type="dxa"/>
            <w:shd w:val="clear" w:color="auto" w:fill="auto"/>
          </w:tcPr>
          <w:p w:rsidR="00D03EFB" w:rsidRPr="00D17D10" w:rsidRDefault="00D17D10" w:rsidP="00835761">
            <w:pPr>
              <w:rPr>
                <w:sz w:val="20"/>
              </w:rPr>
            </w:pPr>
            <w:r>
              <w:rPr>
                <w:sz w:val="20"/>
              </w:rPr>
              <w:t>2</w:t>
            </w:r>
            <w:r w:rsidR="00D03EFB" w:rsidRPr="00D17D10">
              <w:rPr>
                <w:sz w:val="20"/>
              </w:rPr>
              <w:t>/10/17 to 31/3/18</w:t>
            </w:r>
          </w:p>
          <w:p w:rsidR="00D03EFB" w:rsidRDefault="00D03EFB" w:rsidP="00835761">
            <w:pPr>
              <w:rPr>
                <w:sz w:val="20"/>
              </w:rPr>
            </w:pPr>
            <w:r w:rsidRPr="00D17D10">
              <w:rPr>
                <w:sz w:val="20"/>
              </w:rPr>
              <w:t xml:space="preserve">£4,400 x </w:t>
            </w:r>
            <w:r w:rsidR="00D8435E">
              <w:rPr>
                <w:sz w:val="20"/>
              </w:rPr>
              <w:t>26</w:t>
            </w:r>
            <w:r w:rsidRPr="00D17D10">
              <w:rPr>
                <w:sz w:val="20"/>
              </w:rPr>
              <w:t xml:space="preserve"> weeks/52</w:t>
            </w:r>
          </w:p>
          <w:p w:rsidR="00D8435E" w:rsidRPr="008103F7" w:rsidRDefault="00D8435E" w:rsidP="00835761">
            <w:pPr>
              <w:rPr>
                <w:b/>
                <w:sz w:val="20"/>
              </w:rPr>
            </w:pPr>
            <w:r>
              <w:rPr>
                <w:sz w:val="20"/>
              </w:rPr>
              <w:t xml:space="preserve">= </w:t>
            </w:r>
            <w:r w:rsidRPr="008103F7">
              <w:rPr>
                <w:b/>
                <w:sz w:val="20"/>
              </w:rPr>
              <w:t>£2,200</w:t>
            </w:r>
          </w:p>
          <w:p w:rsidR="00D03EFB" w:rsidRPr="00D17D10" w:rsidRDefault="00D03EFB" w:rsidP="00835761">
            <w:pPr>
              <w:rPr>
                <w:sz w:val="20"/>
              </w:rPr>
            </w:pPr>
          </w:p>
        </w:tc>
        <w:tc>
          <w:tcPr>
            <w:tcW w:w="2268" w:type="dxa"/>
            <w:shd w:val="clear" w:color="auto" w:fill="auto"/>
          </w:tcPr>
          <w:p w:rsidR="00D03EFB" w:rsidRPr="00D17D10" w:rsidRDefault="00D17D10" w:rsidP="00835761">
            <w:pPr>
              <w:rPr>
                <w:sz w:val="20"/>
              </w:rPr>
            </w:pPr>
            <w:r>
              <w:rPr>
                <w:sz w:val="20"/>
              </w:rPr>
              <w:t>4</w:t>
            </w:r>
            <w:r w:rsidR="00D03EFB" w:rsidRPr="00D17D10">
              <w:rPr>
                <w:sz w:val="20"/>
              </w:rPr>
              <w:t>/12/17 to 31/3/19</w:t>
            </w:r>
          </w:p>
          <w:p w:rsidR="00D03EFB" w:rsidRPr="00D17D10" w:rsidRDefault="00D03EFB" w:rsidP="00042B55">
            <w:pPr>
              <w:rPr>
                <w:sz w:val="20"/>
              </w:rPr>
            </w:pPr>
            <w:r w:rsidRPr="00D17D10">
              <w:rPr>
                <w:sz w:val="20"/>
              </w:rPr>
              <w:t xml:space="preserve">£4,400 x </w:t>
            </w:r>
            <w:r w:rsidR="008103F7">
              <w:rPr>
                <w:sz w:val="20"/>
              </w:rPr>
              <w:t>39</w:t>
            </w:r>
            <w:r w:rsidRPr="00D17D10">
              <w:rPr>
                <w:sz w:val="20"/>
              </w:rPr>
              <w:t xml:space="preserve"> weeks/52</w:t>
            </w:r>
          </w:p>
          <w:p w:rsidR="00D03EFB" w:rsidRDefault="00D03EFB" w:rsidP="00D8435E">
            <w:pPr>
              <w:rPr>
                <w:sz w:val="20"/>
              </w:rPr>
            </w:pPr>
            <w:r w:rsidRPr="00D17D10">
              <w:rPr>
                <w:sz w:val="20"/>
              </w:rPr>
              <w:t xml:space="preserve">£4,500 x </w:t>
            </w:r>
            <w:r w:rsidR="00D8435E">
              <w:rPr>
                <w:sz w:val="20"/>
              </w:rPr>
              <w:t>30</w:t>
            </w:r>
            <w:r w:rsidRPr="00D17D10">
              <w:rPr>
                <w:sz w:val="20"/>
              </w:rPr>
              <w:t xml:space="preserve"> weeks/52</w:t>
            </w:r>
          </w:p>
          <w:p w:rsidR="008103F7" w:rsidRPr="00D17D10" w:rsidRDefault="008103F7" w:rsidP="00D8435E">
            <w:pPr>
              <w:rPr>
                <w:sz w:val="20"/>
              </w:rPr>
            </w:pPr>
            <w:r>
              <w:rPr>
                <w:sz w:val="20"/>
              </w:rPr>
              <w:t xml:space="preserve">= </w:t>
            </w:r>
            <w:r w:rsidRPr="008103F7">
              <w:rPr>
                <w:b/>
                <w:sz w:val="20"/>
              </w:rPr>
              <w:t>£5,896</w:t>
            </w:r>
          </w:p>
        </w:tc>
        <w:tc>
          <w:tcPr>
            <w:tcW w:w="2410" w:type="dxa"/>
            <w:shd w:val="clear" w:color="auto" w:fill="auto"/>
          </w:tcPr>
          <w:p w:rsidR="00D03EFB" w:rsidRDefault="00D17D10" w:rsidP="00D17D10">
            <w:pPr>
              <w:rPr>
                <w:sz w:val="20"/>
              </w:rPr>
            </w:pPr>
            <w:r>
              <w:rPr>
                <w:sz w:val="20"/>
              </w:rPr>
              <w:t>4</w:t>
            </w:r>
            <w:r w:rsidR="00D03EFB" w:rsidRPr="00D17D10">
              <w:rPr>
                <w:sz w:val="20"/>
              </w:rPr>
              <w:t>/12/17 to 31/8/18</w:t>
            </w:r>
          </w:p>
          <w:p w:rsidR="008103F7" w:rsidRDefault="008103F7" w:rsidP="00D17D10">
            <w:pPr>
              <w:rPr>
                <w:sz w:val="20"/>
              </w:rPr>
            </w:pPr>
            <w:r>
              <w:rPr>
                <w:sz w:val="20"/>
              </w:rPr>
              <w:t>£4,400 x 39 weeks/52</w:t>
            </w:r>
          </w:p>
          <w:p w:rsidR="008103F7" w:rsidRPr="00D17D10" w:rsidRDefault="008103F7" w:rsidP="00D17D10">
            <w:pPr>
              <w:rPr>
                <w:sz w:val="20"/>
              </w:rPr>
            </w:pPr>
            <w:r>
              <w:rPr>
                <w:sz w:val="20"/>
              </w:rPr>
              <w:t xml:space="preserve">= </w:t>
            </w:r>
            <w:r w:rsidRPr="008103F7">
              <w:rPr>
                <w:b/>
                <w:sz w:val="20"/>
              </w:rPr>
              <w:t>£3,300</w:t>
            </w:r>
          </w:p>
        </w:tc>
      </w:tr>
    </w:tbl>
    <w:p w:rsidR="00835761" w:rsidRPr="00835761" w:rsidRDefault="00835761" w:rsidP="00835761"/>
    <w:p w:rsidR="00725F45" w:rsidRDefault="00725F45" w:rsidP="00725F45"/>
    <w:p w:rsidR="00725F45" w:rsidRPr="00725F45" w:rsidRDefault="00725F45" w:rsidP="00725F45"/>
    <w:sectPr w:rsidR="00725F45" w:rsidRPr="00725F45" w:rsidSect="00B36757">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09" w:rsidRDefault="00F66809">
      <w:r>
        <w:separator/>
      </w:r>
    </w:p>
  </w:endnote>
  <w:endnote w:type="continuationSeparator" w:id="0">
    <w:p w:rsidR="00F66809" w:rsidRDefault="00F6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B" w:rsidRDefault="007F2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F6" w:rsidRPr="00B9544E" w:rsidRDefault="001153F6" w:rsidP="001A4AF8">
    <w:pPr>
      <w:pStyle w:val="Footer"/>
      <w:pBdr>
        <w:top w:val="single" w:sz="4" w:space="1" w:color="auto"/>
      </w:pBdr>
      <w:tabs>
        <w:tab w:val="center" w:pos="5103"/>
        <w:tab w:val="right" w:pos="9639"/>
      </w:tabs>
      <w:jc w:val="center"/>
      <w:rPr>
        <w:sz w:val="6"/>
        <w:szCs w:val="24"/>
      </w:rPr>
    </w:pPr>
  </w:p>
  <w:p w:rsidR="001153F6" w:rsidRPr="00B9544E" w:rsidRDefault="001153F6" w:rsidP="001A4AF8">
    <w:pPr>
      <w:pStyle w:val="Footer"/>
      <w:pBdr>
        <w:top w:val="single" w:sz="4" w:space="1" w:color="auto"/>
      </w:pBdr>
      <w:tabs>
        <w:tab w:val="clear" w:pos="4320"/>
        <w:tab w:val="clear" w:pos="8640"/>
        <w:tab w:val="center" w:pos="4820"/>
      </w:tabs>
      <w:jc w:val="center"/>
      <w:rPr>
        <w:szCs w:val="24"/>
      </w:rPr>
    </w:pPr>
    <w:r w:rsidRPr="00B9544E">
      <w:rPr>
        <w:szCs w:val="24"/>
      </w:rPr>
      <w:t xml:space="preserve">Page </w:t>
    </w:r>
    <w:r w:rsidRPr="00B9544E">
      <w:rPr>
        <w:rStyle w:val="PageNumber"/>
        <w:szCs w:val="24"/>
      </w:rPr>
      <w:fldChar w:fldCharType="begin"/>
    </w:r>
    <w:r w:rsidRPr="00B9544E">
      <w:rPr>
        <w:rStyle w:val="PageNumber"/>
        <w:szCs w:val="24"/>
      </w:rPr>
      <w:instrText xml:space="preserve"> PAGE </w:instrText>
    </w:r>
    <w:r w:rsidRPr="00B9544E">
      <w:rPr>
        <w:rStyle w:val="PageNumber"/>
        <w:szCs w:val="24"/>
      </w:rPr>
      <w:fldChar w:fldCharType="separate"/>
    </w:r>
    <w:r w:rsidR="00486CD6">
      <w:rPr>
        <w:rStyle w:val="PageNumber"/>
        <w:noProof/>
        <w:szCs w:val="24"/>
      </w:rPr>
      <w:t>4</w:t>
    </w:r>
    <w:r w:rsidRPr="00B9544E">
      <w:rPr>
        <w:rStyle w:val="PageNumber"/>
        <w:szCs w:val="24"/>
      </w:rPr>
      <w:fldChar w:fldCharType="end"/>
    </w:r>
    <w:r w:rsidRPr="00B9544E">
      <w:rPr>
        <w:rStyle w:val="PageNumber"/>
        <w:szCs w:val="24"/>
      </w:rPr>
      <w:t xml:space="preserve"> of </w:t>
    </w:r>
    <w:r w:rsidRPr="00B9544E">
      <w:rPr>
        <w:rStyle w:val="PageNumber"/>
        <w:szCs w:val="24"/>
      </w:rPr>
      <w:fldChar w:fldCharType="begin"/>
    </w:r>
    <w:r w:rsidRPr="00B9544E">
      <w:rPr>
        <w:rStyle w:val="PageNumber"/>
        <w:szCs w:val="24"/>
      </w:rPr>
      <w:instrText xml:space="preserve"> NUMPAGES </w:instrText>
    </w:r>
    <w:r w:rsidRPr="00B9544E">
      <w:rPr>
        <w:rStyle w:val="PageNumber"/>
        <w:szCs w:val="24"/>
      </w:rPr>
      <w:fldChar w:fldCharType="separate"/>
    </w:r>
    <w:r w:rsidR="00486CD6">
      <w:rPr>
        <w:rStyle w:val="PageNumber"/>
        <w:noProof/>
        <w:szCs w:val="24"/>
      </w:rPr>
      <w:t>5</w:t>
    </w:r>
    <w:r w:rsidRPr="00B9544E">
      <w:rPr>
        <w:rStyle w:val="PageNumber"/>
        <w:szCs w:val="24"/>
      </w:rPr>
      <w:fldChar w:fldCharType="end"/>
    </w:r>
  </w:p>
  <w:p w:rsidR="001153F6" w:rsidRPr="001A4AF8" w:rsidRDefault="001153F6" w:rsidP="001A4AF8">
    <w:pPr>
      <w:pStyle w:val="Footer"/>
      <w:pBdr>
        <w:top w:val="single" w:sz="4" w:space="1" w:color="auto"/>
      </w:pBdr>
      <w:tabs>
        <w:tab w:val="clear" w:pos="4320"/>
        <w:tab w:val="clear" w:pos="8640"/>
        <w:tab w:val="center" w:pos="4820"/>
        <w:tab w:val="right" w:pos="9639"/>
      </w:tabs>
      <w:rPr>
        <w:sz w:val="20"/>
      </w:rPr>
    </w:pPr>
    <w:r>
      <w:rPr>
        <w:sz w:val="20"/>
      </w:rPr>
      <w:tab/>
    </w: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F6" w:rsidRPr="00B36757" w:rsidRDefault="00486CD6" w:rsidP="00B36757">
    <w:pPr>
      <w:pStyle w:val="Footer"/>
    </w:pPr>
    <w:r>
      <w:rPr>
        <w:noProof/>
      </w:rPr>
      <w:pict>
        <v:group id="_x0000_s2053" style="position:absolute;margin-left:-56.95pt;margin-top:-63.35pt;width:598.8pt;height:107.25pt;z-index:251658240" coordorigin="-29,14690" coordsize="11976,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29;top:14690;width:11671;height:1809">
            <v:imagedata r:id="rId1" o:title="WBC%20Footer%20Strip%20Green"/>
          </v:shape>
          <v:rect id="_x0000_s2055" style="position:absolute;left:-29;top:16463;width:11940;height:372" fillcolor="#009878" strokecolor="#009878"/>
          <v:rect id="_x0000_s2056" style="position:absolute;left:11635;top:14703;width:312;height:1812" fillcolor="#009878" strokecolor="#009878"/>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09" w:rsidRDefault="00F66809">
      <w:r>
        <w:separator/>
      </w:r>
    </w:p>
  </w:footnote>
  <w:footnote w:type="continuationSeparator" w:id="0">
    <w:p w:rsidR="00F66809" w:rsidRDefault="00F6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B" w:rsidRDefault="007F2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B" w:rsidRDefault="007F2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F6" w:rsidRPr="001A4AF8" w:rsidRDefault="00486CD6" w:rsidP="001A4AF8">
    <w:r>
      <w:rPr>
        <w:noProof/>
      </w:rPr>
      <w:pict>
        <v:rect id="_x0000_s2052" style="position:absolute;margin-left:-57.55pt;margin-top:-30.15pt;width:596.25pt;height:235.3pt;z-index:251657216" fillcolor="#009b7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2401B84"/>
    <w:lvl w:ilvl="0">
      <w:start w:val="1"/>
      <w:numFmt w:val="decimal"/>
      <w:lvlText w:val="%1."/>
      <w:legacy w:legacy="1" w:legacySpace="144" w:legacyIndent="0"/>
      <w:lvlJc w:val="left"/>
    </w:lvl>
    <w:lvl w:ilvl="1">
      <w:start w:val="1"/>
      <w:numFmt w:val="decimal"/>
      <w:lvlText w:val="%1.%2"/>
      <w:legacy w:legacy="1" w:legacySpace="144" w:legacyIndent="0"/>
      <w:lvlJc w:val="left"/>
      <w:rPr>
        <w:color w:val="auto"/>
      </w:rPr>
    </w:lvl>
    <w:lvl w:ilvl="2">
      <w:start w:val="1"/>
      <w:numFmt w:val="decimal"/>
      <w:lvlText w:val="(%3)"/>
      <w:legacy w:legacy="1" w:legacySpace="144" w:legacyIndent="0"/>
      <w:lvlJc w:val="left"/>
    </w:lvl>
    <w:lvl w:ilvl="3">
      <w:start w:val="1"/>
      <w:numFmt w:val="lowerLetter"/>
      <w:lvlText w:val="(%4)"/>
      <w:legacy w:legacy="1" w:legacySpace="144" w:legacyIndent="0"/>
      <w:lvlJc w:val="left"/>
    </w:lvl>
    <w:lvl w:ilvl="4">
      <w:start w:val="1"/>
      <w:numFmt w:val="lowerRoman"/>
      <w:lvlText w:val="(%5)"/>
      <w:legacy w:legacy="1" w:legacySpace="144" w:legacyIndent="0"/>
      <w:lvlJc w:val="left"/>
    </w:lvl>
    <w:lvl w:ilvl="5">
      <w:start w:val="1"/>
      <w:numFmt w:val="decimal"/>
      <w:lvlText w:val="(%5).%6"/>
      <w:legacy w:legacy="1" w:legacySpace="144" w:legacyIndent="0"/>
      <w:lvlJc w:val="left"/>
    </w:lvl>
    <w:lvl w:ilvl="6">
      <w:start w:val="1"/>
      <w:numFmt w:val="decimal"/>
      <w:lvlText w:val="(%5).%6.%7"/>
      <w:legacy w:legacy="1" w:legacySpace="144" w:legacyIndent="0"/>
      <w:lvlJc w:val="left"/>
    </w:lvl>
    <w:lvl w:ilvl="7">
      <w:start w:val="1"/>
      <w:numFmt w:val="decimal"/>
      <w:lvlText w:val="(%5).%6.%7.%8"/>
      <w:legacy w:legacy="1" w:legacySpace="144" w:legacyIndent="0"/>
      <w:lvlJc w:val="left"/>
    </w:lvl>
    <w:lvl w:ilvl="8">
      <w:start w:val="1"/>
      <w:numFmt w:val="decimal"/>
      <w:lvlText w:val="(%5).%6.%7.%8.%9"/>
      <w:legacy w:legacy="1" w:legacySpace="144" w:legacyIndent="0"/>
      <w:lvlJc w:val="left"/>
    </w:lvl>
  </w:abstractNum>
  <w:abstractNum w:abstractNumId="1" w15:restartNumberingAfterBreak="0">
    <w:nsid w:val="394E2D92"/>
    <w:multiLevelType w:val="multilevel"/>
    <w:tmpl w:val="0C9AB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7EC6D1E"/>
    <w:multiLevelType w:val="hybridMultilevel"/>
    <w:tmpl w:val="48A8B8C2"/>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3" w15:restartNumberingAfterBreak="0">
    <w:nsid w:val="4B8020C1"/>
    <w:multiLevelType w:val="hybridMultilevel"/>
    <w:tmpl w:val="65DAEDB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4ED6391D"/>
    <w:multiLevelType w:val="hybridMultilevel"/>
    <w:tmpl w:val="84068054"/>
    <w:lvl w:ilvl="0" w:tplc="280EF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726EDD"/>
    <w:multiLevelType w:val="hybridMultilevel"/>
    <w:tmpl w:val="DBCE2E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5439605D"/>
    <w:multiLevelType w:val="singleLevel"/>
    <w:tmpl w:val="DAAC7FD8"/>
    <w:lvl w:ilvl="0">
      <w:start w:val="1"/>
      <w:numFmt w:val="bullet"/>
      <w:pStyle w:val="BulletText"/>
      <w:lvlText w:val=""/>
      <w:lvlJc w:val="left"/>
      <w:pPr>
        <w:tabs>
          <w:tab w:val="num" w:pos="360"/>
        </w:tabs>
        <w:ind w:left="360" w:hanging="360"/>
      </w:pPr>
      <w:rPr>
        <w:rFonts w:ascii="Symbol" w:hAnsi="Symbol" w:hint="default"/>
      </w:rPr>
    </w:lvl>
  </w:abstractNum>
  <w:abstractNum w:abstractNumId="7" w15:restartNumberingAfterBreak="0">
    <w:nsid w:val="606268DA"/>
    <w:multiLevelType w:val="multilevel"/>
    <w:tmpl w:val="5F023FB4"/>
    <w:lvl w:ilvl="0">
      <w:start w:val="1"/>
      <w:numFmt w:val="decimal"/>
      <w:pStyle w:val="StyleHeading118pt"/>
      <w:lvlText w:val="%1."/>
      <w:lvlJc w:val="left"/>
      <w:pPr>
        <w:tabs>
          <w:tab w:val="num" w:pos="0"/>
        </w:tabs>
        <w:ind w:left="0" w:firstLine="0"/>
      </w:pPr>
      <w:rPr>
        <w:rFonts w:hint="default"/>
        <w:b w:val="0"/>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8" w15:restartNumberingAfterBreak="0">
    <w:nsid w:val="7AC2289E"/>
    <w:multiLevelType w:val="multilevel"/>
    <w:tmpl w:val="22BE4B8E"/>
    <w:lvl w:ilvl="0">
      <w:start w:val="1"/>
      <w:numFmt w:val="decimal"/>
      <w:pStyle w:val="Heading1"/>
      <w:lvlText w:val="%1."/>
      <w:lvlJc w:val="left"/>
      <w:pPr>
        <w:tabs>
          <w:tab w:val="num" w:pos="0"/>
        </w:tabs>
        <w:ind w:left="0" w:firstLine="0"/>
      </w:pPr>
      <w:rPr>
        <w:rFonts w:hint="default"/>
        <w:b w:val="0"/>
        <w:i w:val="0"/>
      </w:rPr>
    </w:lvl>
    <w:lvl w:ilvl="1">
      <w:start w:val="1"/>
      <w:numFmt w:val="decimal"/>
      <w:pStyle w:val="Heading2"/>
      <w:lvlText w:val="%1.%2"/>
      <w:lvlJc w:val="left"/>
      <w:pPr>
        <w:tabs>
          <w:tab w:val="num" w:pos="0"/>
        </w:tabs>
        <w:ind w:left="0" w:firstLine="0"/>
      </w:pPr>
      <w:rPr>
        <w:rFonts w:hint="default"/>
        <w:b w:val="0"/>
        <w:i w:val="0"/>
      </w:rPr>
    </w:lvl>
    <w:lvl w:ilvl="2">
      <w:start w:val="1"/>
      <w:numFmt w:val="decimal"/>
      <w:pStyle w:val="Heading3"/>
      <w:lvlText w:val="%1.%2.%3"/>
      <w:lvlJc w:val="left"/>
      <w:pPr>
        <w:tabs>
          <w:tab w:val="num" w:pos="0"/>
        </w:tabs>
        <w:ind w:left="0" w:firstLine="0"/>
      </w:pPr>
      <w:rPr>
        <w:rFonts w:hint="default"/>
        <w:b w:val="0"/>
        <w:i w:val="0"/>
      </w:rPr>
    </w:lvl>
    <w:lvl w:ilvl="3">
      <w:numFmt w:val="decimal"/>
      <w:pStyle w:val="Heading4"/>
      <w:lvlText w:val="%1.%2.%3.%4"/>
      <w:lvlJc w:val="left"/>
      <w:pPr>
        <w:tabs>
          <w:tab w:val="num" w:pos="0"/>
        </w:tabs>
        <w:ind w:left="0" w:firstLine="0"/>
      </w:pPr>
      <w:rPr>
        <w:rFonts w:hint="default"/>
        <w:b w:val="0"/>
        <w:i w:val="0"/>
      </w:rPr>
    </w:lvl>
    <w:lvl w:ilvl="4">
      <w:numFmt w:val="decimal"/>
      <w:pStyle w:val="Heading5"/>
      <w:lvlText w:val="%1.%2.%3.%4.%5"/>
      <w:lvlJc w:val="left"/>
      <w:pPr>
        <w:tabs>
          <w:tab w:val="num" w:pos="0"/>
        </w:tabs>
        <w:ind w:left="0" w:firstLine="0"/>
      </w:pPr>
      <w:rPr>
        <w:rFonts w:hint="default"/>
        <w:b w:val="0"/>
        <w:i w:val="0"/>
      </w:rPr>
    </w:lvl>
    <w:lvl w:ilvl="5">
      <w:start w:val="54788112"/>
      <w:numFmt w:val="decimal"/>
      <w:pStyle w:val="Heading6"/>
      <w:lvlText w:val="%1.%2.%3.%4.%5.%6"/>
      <w:lvlJc w:val="left"/>
      <w:pPr>
        <w:tabs>
          <w:tab w:val="num" w:pos="0"/>
        </w:tabs>
        <w:ind w:left="0" w:firstLine="0"/>
      </w:pPr>
      <w:rPr>
        <w:rFonts w:hint="default"/>
        <w:b w:val="0"/>
        <w:i w:val="0"/>
      </w:rPr>
    </w:lvl>
    <w:lvl w:ilvl="6">
      <w:start w:val="1232488"/>
      <w:numFmt w:val="decimal"/>
      <w:pStyle w:val="Heading7"/>
      <w:lvlText w:val="%1.%2.%3.%4.%5.%6.%7"/>
      <w:lvlJc w:val="left"/>
      <w:pPr>
        <w:tabs>
          <w:tab w:val="num" w:pos="0"/>
        </w:tabs>
        <w:ind w:left="0" w:firstLine="0"/>
      </w:pPr>
      <w:rPr>
        <w:rFonts w:hint="default"/>
        <w:b w:val="0"/>
        <w:i w:val="0"/>
      </w:rPr>
    </w:lvl>
    <w:lvl w:ilvl="7">
      <w:start w:val="1232460"/>
      <w:numFmt w:val="decimal"/>
      <w:pStyle w:val="Heading8"/>
      <w:lvlText w:val="%1.%2.%3.%4.%5.%6.%7.%8"/>
      <w:lvlJc w:val="left"/>
      <w:pPr>
        <w:tabs>
          <w:tab w:val="num" w:pos="0"/>
        </w:tabs>
        <w:ind w:left="0" w:firstLine="0"/>
      </w:pPr>
      <w:rPr>
        <w:rFonts w:hint="default"/>
        <w:b w:val="0"/>
        <w:i w:val="0"/>
      </w:rPr>
    </w:lvl>
    <w:lvl w:ilvl="8">
      <w:start w:val="1232488"/>
      <w:numFmt w:val="decimal"/>
      <w:pStyle w:val="Heading9"/>
      <w:lvlText w:val="%1.%2.%3.%4.%5.%6.%7.%8.%9"/>
      <w:lvlJc w:val="left"/>
      <w:pPr>
        <w:tabs>
          <w:tab w:val="num" w:pos="0"/>
        </w:tabs>
        <w:ind w:left="0" w:firstLine="0"/>
      </w:pPr>
      <w:rPr>
        <w:rFonts w:hint="default"/>
        <w:b w:val="0"/>
        <w:i w:val="0"/>
      </w:rPr>
    </w:lvl>
  </w:abstractNum>
  <w:num w:numId="1">
    <w:abstractNumId w:val="6"/>
  </w:num>
  <w:num w:numId="2">
    <w:abstractNumId w:val="7"/>
  </w:num>
  <w:num w:numId="3">
    <w:abstractNumId w:val="8"/>
  </w:num>
  <w:num w:numId="4">
    <w:abstractNumId w:val="1"/>
  </w:num>
  <w:num w:numId="5">
    <w:abstractNumId w:val="0"/>
  </w:num>
  <w:num w:numId="6">
    <w:abstractNumId w:val="5"/>
  </w:num>
  <w:num w:numId="7">
    <w:abstractNumId w:val="3"/>
  </w:num>
  <w:num w:numId="8">
    <w:abstractNumId w:val="2"/>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0">
      <o:colormenu v:ext="edit" strokecolor="none"/>
    </o:shapedefaults>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17"/>
    <w:rsid w:val="0000350F"/>
    <w:rsid w:val="000142C1"/>
    <w:rsid w:val="00042B55"/>
    <w:rsid w:val="00067463"/>
    <w:rsid w:val="00074550"/>
    <w:rsid w:val="000853C7"/>
    <w:rsid w:val="00086822"/>
    <w:rsid w:val="000944B0"/>
    <w:rsid w:val="000977C2"/>
    <w:rsid w:val="000B2E94"/>
    <w:rsid w:val="000C3E63"/>
    <w:rsid w:val="000E2134"/>
    <w:rsid w:val="00101205"/>
    <w:rsid w:val="001153F6"/>
    <w:rsid w:val="00121887"/>
    <w:rsid w:val="00125513"/>
    <w:rsid w:val="00141B27"/>
    <w:rsid w:val="00161CE2"/>
    <w:rsid w:val="0017099C"/>
    <w:rsid w:val="001A024E"/>
    <w:rsid w:val="001A0C91"/>
    <w:rsid w:val="001A4AF8"/>
    <w:rsid w:val="001C253B"/>
    <w:rsid w:val="001C76A2"/>
    <w:rsid w:val="001E61A4"/>
    <w:rsid w:val="001F0F78"/>
    <w:rsid w:val="00212746"/>
    <w:rsid w:val="00221567"/>
    <w:rsid w:val="002635E8"/>
    <w:rsid w:val="00265C93"/>
    <w:rsid w:val="002725C2"/>
    <w:rsid w:val="002C00C7"/>
    <w:rsid w:val="002F176E"/>
    <w:rsid w:val="00307A7B"/>
    <w:rsid w:val="00333C15"/>
    <w:rsid w:val="0036536B"/>
    <w:rsid w:val="00372A01"/>
    <w:rsid w:val="003A4917"/>
    <w:rsid w:val="003C225F"/>
    <w:rsid w:val="003D5B9E"/>
    <w:rsid w:val="003E38C4"/>
    <w:rsid w:val="003E7918"/>
    <w:rsid w:val="003F1FC4"/>
    <w:rsid w:val="004065E2"/>
    <w:rsid w:val="00416FF1"/>
    <w:rsid w:val="00422E05"/>
    <w:rsid w:val="0042488A"/>
    <w:rsid w:val="004249D0"/>
    <w:rsid w:val="00426F07"/>
    <w:rsid w:val="00440DCE"/>
    <w:rsid w:val="00461692"/>
    <w:rsid w:val="004659E3"/>
    <w:rsid w:val="00481407"/>
    <w:rsid w:val="0048291D"/>
    <w:rsid w:val="00486CD6"/>
    <w:rsid w:val="004A7BB0"/>
    <w:rsid w:val="004B458B"/>
    <w:rsid w:val="00511F2A"/>
    <w:rsid w:val="005666D2"/>
    <w:rsid w:val="005911FB"/>
    <w:rsid w:val="00600DF8"/>
    <w:rsid w:val="00632EF6"/>
    <w:rsid w:val="006822B8"/>
    <w:rsid w:val="0069622C"/>
    <w:rsid w:val="006B0D8E"/>
    <w:rsid w:val="006D6B2A"/>
    <w:rsid w:val="006E0E6C"/>
    <w:rsid w:val="007056F8"/>
    <w:rsid w:val="00725F45"/>
    <w:rsid w:val="007273AD"/>
    <w:rsid w:val="00775E3C"/>
    <w:rsid w:val="007870D1"/>
    <w:rsid w:val="00796B6A"/>
    <w:rsid w:val="007A701D"/>
    <w:rsid w:val="007B09EE"/>
    <w:rsid w:val="007B0C1B"/>
    <w:rsid w:val="007D2393"/>
    <w:rsid w:val="007F266B"/>
    <w:rsid w:val="008103F7"/>
    <w:rsid w:val="0081580E"/>
    <w:rsid w:val="008251E6"/>
    <w:rsid w:val="00833695"/>
    <w:rsid w:val="00835761"/>
    <w:rsid w:val="008379E9"/>
    <w:rsid w:val="008444DD"/>
    <w:rsid w:val="00854563"/>
    <w:rsid w:val="008754C6"/>
    <w:rsid w:val="008A2999"/>
    <w:rsid w:val="008A7CF7"/>
    <w:rsid w:val="008D3C97"/>
    <w:rsid w:val="00930A15"/>
    <w:rsid w:val="009750A9"/>
    <w:rsid w:val="00991EE4"/>
    <w:rsid w:val="009A1C2E"/>
    <w:rsid w:val="009A21A7"/>
    <w:rsid w:val="009C63BC"/>
    <w:rsid w:val="009D3078"/>
    <w:rsid w:val="009F29E1"/>
    <w:rsid w:val="00A05B24"/>
    <w:rsid w:val="00A312FA"/>
    <w:rsid w:val="00A66986"/>
    <w:rsid w:val="00A73160"/>
    <w:rsid w:val="00A77E1E"/>
    <w:rsid w:val="00A86138"/>
    <w:rsid w:val="00A95DAC"/>
    <w:rsid w:val="00A96AE2"/>
    <w:rsid w:val="00AA0404"/>
    <w:rsid w:val="00AA14BB"/>
    <w:rsid w:val="00AC6917"/>
    <w:rsid w:val="00AC75CE"/>
    <w:rsid w:val="00B006B1"/>
    <w:rsid w:val="00B03F09"/>
    <w:rsid w:val="00B27ACD"/>
    <w:rsid w:val="00B36757"/>
    <w:rsid w:val="00B376F4"/>
    <w:rsid w:val="00B503BD"/>
    <w:rsid w:val="00B920CF"/>
    <w:rsid w:val="00BA13F2"/>
    <w:rsid w:val="00BB79E7"/>
    <w:rsid w:val="00BD3505"/>
    <w:rsid w:val="00BE5387"/>
    <w:rsid w:val="00BE6992"/>
    <w:rsid w:val="00BF087E"/>
    <w:rsid w:val="00BF674E"/>
    <w:rsid w:val="00C10304"/>
    <w:rsid w:val="00C55EBB"/>
    <w:rsid w:val="00C74DBA"/>
    <w:rsid w:val="00C955FF"/>
    <w:rsid w:val="00CC0C23"/>
    <w:rsid w:val="00CE627C"/>
    <w:rsid w:val="00CE6645"/>
    <w:rsid w:val="00CF2F97"/>
    <w:rsid w:val="00D03EFB"/>
    <w:rsid w:val="00D17D10"/>
    <w:rsid w:val="00D35AD6"/>
    <w:rsid w:val="00D517F4"/>
    <w:rsid w:val="00D8435E"/>
    <w:rsid w:val="00D85BD7"/>
    <w:rsid w:val="00DA7BF7"/>
    <w:rsid w:val="00DC7091"/>
    <w:rsid w:val="00DD22CC"/>
    <w:rsid w:val="00DD582D"/>
    <w:rsid w:val="00E07B09"/>
    <w:rsid w:val="00E122BC"/>
    <w:rsid w:val="00E34F81"/>
    <w:rsid w:val="00E57D36"/>
    <w:rsid w:val="00E73F81"/>
    <w:rsid w:val="00E86085"/>
    <w:rsid w:val="00EB5319"/>
    <w:rsid w:val="00EC6DFB"/>
    <w:rsid w:val="00EE146A"/>
    <w:rsid w:val="00EF5E19"/>
    <w:rsid w:val="00F16B5A"/>
    <w:rsid w:val="00F25519"/>
    <w:rsid w:val="00F3113A"/>
    <w:rsid w:val="00F4331D"/>
    <w:rsid w:val="00F66809"/>
    <w:rsid w:val="00F73350"/>
    <w:rsid w:val="00FA3284"/>
    <w:rsid w:val="00FA5BB0"/>
    <w:rsid w:val="00FB0AD5"/>
    <w:rsid w:val="00FC5142"/>
    <w:rsid w:val="00FD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enu v:ext="edit" strokecolor="none"/>
    </o:shapedefaults>
    <o:shapelayout v:ext="edit">
      <o:idmap v:ext="edit" data="1"/>
    </o:shapelayout>
  </w:shapeDefaults>
  <w:decimalSymbol w:val="."/>
  <w:listSeparator w:val=","/>
  <w15:chartTrackingRefBased/>
  <w15:docId w15:val="{80803CF8-3BDB-4339-9CC5-183A456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CE"/>
    <w:rPr>
      <w:rFonts w:ascii="Arial" w:hAnsi="Arial"/>
      <w:sz w:val="24"/>
    </w:rPr>
  </w:style>
  <w:style w:type="paragraph" w:styleId="Heading1">
    <w:name w:val="heading 1"/>
    <w:basedOn w:val="Normal"/>
    <w:next w:val="Normal"/>
    <w:qFormat/>
    <w:rsid w:val="00440DCE"/>
    <w:pPr>
      <w:keepNext/>
      <w:numPr>
        <w:numId w:val="3"/>
      </w:numPr>
      <w:spacing w:after="240"/>
      <w:outlineLvl w:val="0"/>
    </w:pPr>
    <w:rPr>
      <w:b/>
      <w:kern w:val="28"/>
    </w:rPr>
  </w:style>
  <w:style w:type="paragraph" w:styleId="Heading2">
    <w:name w:val="heading 2"/>
    <w:basedOn w:val="Normal"/>
    <w:next w:val="Normal"/>
    <w:qFormat/>
    <w:rsid w:val="00440DCE"/>
    <w:pPr>
      <w:numPr>
        <w:ilvl w:val="1"/>
        <w:numId w:val="3"/>
      </w:numPr>
      <w:spacing w:after="240"/>
      <w:outlineLvl w:val="1"/>
    </w:pPr>
  </w:style>
  <w:style w:type="paragraph" w:styleId="Heading3">
    <w:name w:val="heading 3"/>
    <w:basedOn w:val="Normal"/>
    <w:next w:val="Normal"/>
    <w:qFormat/>
    <w:rsid w:val="00440DCE"/>
    <w:pPr>
      <w:numPr>
        <w:ilvl w:val="2"/>
        <w:numId w:val="3"/>
      </w:numPr>
      <w:spacing w:after="240"/>
      <w:outlineLvl w:val="2"/>
    </w:pPr>
  </w:style>
  <w:style w:type="paragraph" w:styleId="Heading4">
    <w:name w:val="heading 4"/>
    <w:basedOn w:val="Normal"/>
    <w:next w:val="Normal"/>
    <w:qFormat/>
    <w:rsid w:val="00440DCE"/>
    <w:pPr>
      <w:numPr>
        <w:ilvl w:val="3"/>
        <w:numId w:val="3"/>
      </w:numPr>
      <w:outlineLvl w:val="3"/>
    </w:pPr>
  </w:style>
  <w:style w:type="paragraph" w:styleId="Heading5">
    <w:name w:val="heading 5"/>
    <w:basedOn w:val="Normal"/>
    <w:next w:val="Normal"/>
    <w:qFormat/>
    <w:rsid w:val="00440DCE"/>
    <w:pPr>
      <w:numPr>
        <w:ilvl w:val="4"/>
        <w:numId w:val="3"/>
      </w:numPr>
      <w:outlineLvl w:val="4"/>
    </w:pPr>
  </w:style>
  <w:style w:type="paragraph" w:styleId="Heading6">
    <w:name w:val="heading 6"/>
    <w:basedOn w:val="Normal"/>
    <w:next w:val="Normal"/>
    <w:qFormat/>
    <w:rsid w:val="00440DCE"/>
    <w:pPr>
      <w:numPr>
        <w:ilvl w:val="5"/>
        <w:numId w:val="3"/>
      </w:numPr>
      <w:outlineLvl w:val="5"/>
    </w:pPr>
  </w:style>
  <w:style w:type="paragraph" w:styleId="Heading7">
    <w:name w:val="heading 7"/>
    <w:basedOn w:val="Normal"/>
    <w:next w:val="Normal"/>
    <w:qFormat/>
    <w:rsid w:val="00440DCE"/>
    <w:pPr>
      <w:numPr>
        <w:ilvl w:val="6"/>
        <w:numId w:val="3"/>
      </w:numPr>
      <w:spacing w:before="240" w:after="60"/>
      <w:outlineLvl w:val="6"/>
    </w:pPr>
  </w:style>
  <w:style w:type="paragraph" w:styleId="Heading8">
    <w:name w:val="heading 8"/>
    <w:basedOn w:val="Normal"/>
    <w:next w:val="Normal"/>
    <w:qFormat/>
    <w:rsid w:val="00440DCE"/>
    <w:pPr>
      <w:numPr>
        <w:ilvl w:val="7"/>
        <w:numId w:val="3"/>
      </w:numPr>
      <w:spacing w:before="240" w:after="60"/>
      <w:outlineLvl w:val="7"/>
    </w:pPr>
    <w:rPr>
      <w:i/>
      <w:sz w:val="20"/>
    </w:rPr>
  </w:style>
  <w:style w:type="paragraph" w:styleId="Heading9">
    <w:name w:val="heading 9"/>
    <w:basedOn w:val="Normal"/>
    <w:next w:val="Normal"/>
    <w:qFormat/>
    <w:rsid w:val="00440DCE"/>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DCE"/>
    <w:pPr>
      <w:tabs>
        <w:tab w:val="center" w:pos="4320"/>
        <w:tab w:val="right" w:pos="8640"/>
      </w:tabs>
    </w:pPr>
  </w:style>
  <w:style w:type="paragraph" w:styleId="Footer">
    <w:name w:val="footer"/>
    <w:basedOn w:val="Normal"/>
    <w:rsid w:val="00440DCE"/>
    <w:pPr>
      <w:tabs>
        <w:tab w:val="center" w:pos="4320"/>
        <w:tab w:val="right" w:pos="8640"/>
      </w:tabs>
    </w:pPr>
  </w:style>
  <w:style w:type="character" w:styleId="PageNumber">
    <w:name w:val="page number"/>
    <w:basedOn w:val="DefaultParagraphFont"/>
    <w:rsid w:val="00440DCE"/>
  </w:style>
  <w:style w:type="paragraph" w:styleId="TOC1">
    <w:name w:val="toc 1"/>
    <w:basedOn w:val="Normal"/>
    <w:next w:val="Normal"/>
    <w:autoRedefine/>
    <w:semiHidden/>
    <w:rsid w:val="00440DCE"/>
    <w:pPr>
      <w:tabs>
        <w:tab w:val="left" w:pos="400"/>
        <w:tab w:val="right" w:leader="dot" w:pos="10065"/>
      </w:tabs>
      <w:spacing w:before="240"/>
    </w:pPr>
    <w:rPr>
      <w:noProof/>
    </w:rPr>
  </w:style>
  <w:style w:type="paragraph" w:styleId="TOC2">
    <w:name w:val="toc 2"/>
    <w:basedOn w:val="Normal"/>
    <w:next w:val="Normal"/>
    <w:autoRedefine/>
    <w:semiHidden/>
    <w:rsid w:val="00440DCE"/>
    <w:pPr>
      <w:ind w:left="200"/>
    </w:pPr>
    <w:rPr>
      <w:rFonts w:ascii="Times New Roman" w:hAnsi="Times New Roman"/>
      <w:sz w:val="20"/>
      <w:lang w:val="en-US"/>
    </w:rPr>
  </w:style>
  <w:style w:type="paragraph" w:styleId="TOC3">
    <w:name w:val="toc 3"/>
    <w:basedOn w:val="Normal"/>
    <w:next w:val="Normal"/>
    <w:autoRedefine/>
    <w:semiHidden/>
    <w:rsid w:val="00440DCE"/>
    <w:pPr>
      <w:ind w:left="400"/>
    </w:pPr>
    <w:rPr>
      <w:rFonts w:ascii="Times New Roman" w:hAnsi="Times New Roman"/>
      <w:sz w:val="20"/>
      <w:lang w:val="en-US"/>
    </w:rPr>
  </w:style>
  <w:style w:type="paragraph" w:styleId="TOC4">
    <w:name w:val="toc 4"/>
    <w:basedOn w:val="Normal"/>
    <w:next w:val="Normal"/>
    <w:autoRedefine/>
    <w:semiHidden/>
    <w:rsid w:val="00440DCE"/>
    <w:pPr>
      <w:ind w:left="600"/>
    </w:pPr>
    <w:rPr>
      <w:rFonts w:ascii="Times New Roman" w:hAnsi="Times New Roman"/>
      <w:sz w:val="20"/>
      <w:lang w:val="en-US"/>
    </w:rPr>
  </w:style>
  <w:style w:type="paragraph" w:styleId="TOC5">
    <w:name w:val="toc 5"/>
    <w:basedOn w:val="Normal"/>
    <w:next w:val="Normal"/>
    <w:autoRedefine/>
    <w:semiHidden/>
    <w:rsid w:val="00440DCE"/>
    <w:pPr>
      <w:ind w:left="800"/>
    </w:pPr>
    <w:rPr>
      <w:rFonts w:ascii="Times New Roman" w:hAnsi="Times New Roman"/>
      <w:sz w:val="20"/>
      <w:lang w:val="en-US"/>
    </w:rPr>
  </w:style>
  <w:style w:type="paragraph" w:styleId="TOC6">
    <w:name w:val="toc 6"/>
    <w:basedOn w:val="Normal"/>
    <w:next w:val="Normal"/>
    <w:autoRedefine/>
    <w:semiHidden/>
    <w:rsid w:val="00440DCE"/>
    <w:pPr>
      <w:ind w:left="1000"/>
    </w:pPr>
    <w:rPr>
      <w:rFonts w:ascii="Times New Roman" w:hAnsi="Times New Roman"/>
      <w:sz w:val="20"/>
      <w:lang w:val="en-US"/>
    </w:rPr>
  </w:style>
  <w:style w:type="paragraph" w:styleId="TOC7">
    <w:name w:val="toc 7"/>
    <w:basedOn w:val="Normal"/>
    <w:next w:val="Normal"/>
    <w:autoRedefine/>
    <w:semiHidden/>
    <w:rsid w:val="00440DCE"/>
    <w:pPr>
      <w:ind w:left="1200"/>
    </w:pPr>
    <w:rPr>
      <w:rFonts w:ascii="Times New Roman" w:hAnsi="Times New Roman"/>
      <w:sz w:val="20"/>
      <w:lang w:val="en-US"/>
    </w:rPr>
  </w:style>
  <w:style w:type="paragraph" w:styleId="TOC8">
    <w:name w:val="toc 8"/>
    <w:basedOn w:val="Normal"/>
    <w:next w:val="Normal"/>
    <w:autoRedefine/>
    <w:semiHidden/>
    <w:rsid w:val="00440DCE"/>
    <w:pPr>
      <w:ind w:left="1400"/>
    </w:pPr>
    <w:rPr>
      <w:rFonts w:ascii="Times New Roman" w:hAnsi="Times New Roman"/>
      <w:sz w:val="20"/>
      <w:lang w:val="en-US"/>
    </w:rPr>
  </w:style>
  <w:style w:type="paragraph" w:styleId="TOC9">
    <w:name w:val="toc 9"/>
    <w:basedOn w:val="Normal"/>
    <w:next w:val="Normal"/>
    <w:autoRedefine/>
    <w:semiHidden/>
    <w:rsid w:val="00440DCE"/>
    <w:pPr>
      <w:ind w:left="1600"/>
    </w:pPr>
    <w:rPr>
      <w:rFonts w:ascii="Times New Roman" w:hAnsi="Times New Roman"/>
      <w:sz w:val="20"/>
      <w:lang w:val="en-US"/>
    </w:rPr>
  </w:style>
  <w:style w:type="paragraph" w:styleId="FootnoteText">
    <w:name w:val="footnote text"/>
    <w:basedOn w:val="Normal"/>
    <w:semiHidden/>
    <w:rsid w:val="00440DCE"/>
    <w:rPr>
      <w:sz w:val="20"/>
    </w:rPr>
  </w:style>
  <w:style w:type="character" w:styleId="FootnoteReference">
    <w:name w:val="footnote reference"/>
    <w:semiHidden/>
    <w:rsid w:val="00440DCE"/>
    <w:rPr>
      <w:vertAlign w:val="superscript"/>
    </w:rPr>
  </w:style>
  <w:style w:type="paragraph" w:styleId="DocumentMap">
    <w:name w:val="Document Map"/>
    <w:basedOn w:val="Normal"/>
    <w:semiHidden/>
    <w:rsid w:val="00440DCE"/>
    <w:pPr>
      <w:shd w:val="clear" w:color="auto" w:fill="000080"/>
    </w:pPr>
    <w:rPr>
      <w:rFonts w:ascii="Tahoma" w:hAnsi="Tahoma"/>
    </w:rPr>
  </w:style>
  <w:style w:type="paragraph" w:styleId="BalloonText">
    <w:name w:val="Balloon Text"/>
    <w:basedOn w:val="Normal"/>
    <w:semiHidden/>
    <w:rsid w:val="00440DCE"/>
    <w:rPr>
      <w:rFonts w:ascii="Tahoma" w:hAnsi="Tahoma" w:cs="Tahoma"/>
      <w:sz w:val="16"/>
      <w:szCs w:val="16"/>
    </w:rPr>
  </w:style>
  <w:style w:type="character" w:styleId="CommentReference">
    <w:name w:val="annotation reference"/>
    <w:semiHidden/>
    <w:rsid w:val="00440DCE"/>
    <w:rPr>
      <w:sz w:val="16"/>
      <w:szCs w:val="16"/>
    </w:rPr>
  </w:style>
  <w:style w:type="paragraph" w:styleId="CommentText">
    <w:name w:val="annotation text"/>
    <w:basedOn w:val="Normal"/>
    <w:semiHidden/>
    <w:rsid w:val="00440DCE"/>
    <w:rPr>
      <w:sz w:val="20"/>
    </w:rPr>
  </w:style>
  <w:style w:type="paragraph" w:styleId="CommentSubject">
    <w:name w:val="annotation subject"/>
    <w:basedOn w:val="CommentText"/>
    <w:next w:val="CommentText"/>
    <w:semiHidden/>
    <w:rsid w:val="00440DCE"/>
    <w:rPr>
      <w:b/>
      <w:bCs/>
    </w:rPr>
  </w:style>
  <w:style w:type="paragraph" w:customStyle="1" w:styleId="IndentedParagraph">
    <w:name w:val="Indented Paragraph"/>
    <w:basedOn w:val="Normal"/>
    <w:rsid w:val="00440DCE"/>
    <w:pPr>
      <w:ind w:left="709"/>
    </w:pPr>
  </w:style>
  <w:style w:type="paragraph" w:customStyle="1" w:styleId="BulletText">
    <w:name w:val="Bullet Text"/>
    <w:basedOn w:val="Normal"/>
    <w:rsid w:val="00440DCE"/>
    <w:pPr>
      <w:numPr>
        <w:numId w:val="1"/>
      </w:numPr>
      <w:tabs>
        <w:tab w:val="clear" w:pos="360"/>
        <w:tab w:val="num" w:pos="1134"/>
      </w:tabs>
      <w:ind w:left="1134" w:hanging="425"/>
    </w:pPr>
  </w:style>
  <w:style w:type="paragraph" w:customStyle="1" w:styleId="StyleHeading118pt">
    <w:name w:val="Style Heading 1 + 18 pt"/>
    <w:basedOn w:val="Heading1"/>
    <w:rsid w:val="00440DCE"/>
    <w:pPr>
      <w:numPr>
        <w:numId w:val="2"/>
      </w:numPr>
    </w:pPr>
    <w:rPr>
      <w:bCs/>
      <w:sz w:val="36"/>
    </w:rPr>
  </w:style>
  <w:style w:type="paragraph" w:styleId="ListParagraph">
    <w:name w:val="List Paragraph"/>
    <w:basedOn w:val="Normal"/>
    <w:uiPriority w:val="34"/>
    <w:qFormat/>
    <w:rsid w:val="00265C93"/>
    <w:pPr>
      <w:ind w:left="720"/>
    </w:pPr>
  </w:style>
  <w:style w:type="table" w:styleId="TableGrid">
    <w:name w:val="Table Grid"/>
    <w:basedOn w:val="TableNormal"/>
    <w:rsid w:val="00CC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5F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82977">
      <w:bodyDiv w:val="1"/>
      <w:marLeft w:val="0"/>
      <w:marRight w:val="0"/>
      <w:marTop w:val="0"/>
      <w:marBottom w:val="0"/>
      <w:divBdr>
        <w:top w:val="none" w:sz="0" w:space="0" w:color="auto"/>
        <w:left w:val="none" w:sz="0" w:space="0" w:color="auto"/>
        <w:bottom w:val="none" w:sz="0" w:space="0" w:color="auto"/>
        <w:right w:val="none" w:sz="0" w:space="0" w:color="auto"/>
      </w:divBdr>
    </w:div>
    <w:div w:id="10245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westberks.gov.uk/article/3148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Teams\bartholomew_helen\Templates\Corporate%20Documents\Templates\Strategy%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D909-24B3-48CE-978D-29FE6567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Strategy Document Template</Template>
  <TotalTime>348</TotalTime>
  <Pages>5</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Security Policy</vt:lpstr>
    </vt:vector>
  </TitlesOfParts>
  <Company>West Berkshire Council</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dc:title>
  <dc:subject/>
  <dc:creator>Helen Bartholomew</dc:creator>
  <cp:keywords>Security policy</cp:keywords>
  <cp:lastModifiedBy>Claire White (Finance)</cp:lastModifiedBy>
  <cp:revision>13</cp:revision>
  <cp:lastPrinted>2018-01-19T10:31:00Z</cp:lastPrinted>
  <dcterms:created xsi:type="dcterms:W3CDTF">2018-02-14T13:19:00Z</dcterms:created>
  <dcterms:modified xsi:type="dcterms:W3CDTF">2018-03-13T13:03:00Z</dcterms:modified>
  <cp:category>Security</cp:category>
</cp:coreProperties>
</file>