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F8" w:rsidRPr="00C57C13" w:rsidRDefault="008B551E" w:rsidP="001A4AF8">
      <w:pPr>
        <w:rPr>
          <w:rFonts w:cs="Arial"/>
          <w:b/>
          <w:sz w:val="32"/>
          <w:szCs w:val="32"/>
        </w:rPr>
      </w:pPr>
      <w:r w:rsidRPr="00C57C13">
        <w:rPr>
          <w:rFonts w:cs="Arial"/>
          <w:b/>
          <w:sz w:val="32"/>
          <w:szCs w:val="32"/>
        </w:rPr>
        <w:t xml:space="preserve">Appendix </w:t>
      </w:r>
      <w:r w:rsidR="00AA7EBC">
        <w:rPr>
          <w:rFonts w:cs="Arial"/>
          <w:b/>
          <w:sz w:val="32"/>
          <w:szCs w:val="32"/>
        </w:rPr>
        <w:t>D</w:t>
      </w:r>
    </w:p>
    <w:p w:rsidR="001A4AF8" w:rsidRPr="00B36757" w:rsidRDefault="001A4AF8" w:rsidP="00B36757">
      <w:pPr>
        <w:pBdr>
          <w:top w:val="double" w:sz="4" w:space="1" w:color="FFFFFF"/>
        </w:pBdr>
        <w:rPr>
          <w:rFonts w:cs="Arial"/>
          <w:color w:val="FFFFFF"/>
          <w:szCs w:val="24"/>
        </w:rPr>
      </w:pPr>
    </w:p>
    <w:p w:rsidR="00A96AE2" w:rsidRDefault="00A96AE2" w:rsidP="001A4AF8">
      <w:pPr>
        <w:rPr>
          <w:rFonts w:cs="Arial"/>
          <w:b/>
          <w:noProof/>
          <w:color w:val="FFFFFF"/>
          <w:sz w:val="44"/>
          <w:szCs w:val="44"/>
        </w:rPr>
      </w:pPr>
      <w:r>
        <w:rPr>
          <w:rFonts w:cs="Arial"/>
          <w:b/>
          <w:noProof/>
          <w:color w:val="FFFFFF"/>
          <w:sz w:val="44"/>
          <w:szCs w:val="44"/>
        </w:rPr>
        <w:t>West Berkshire Council Schools</w:t>
      </w:r>
    </w:p>
    <w:p w:rsidR="00292EFF" w:rsidRDefault="002D1DD6" w:rsidP="001A4AF8">
      <w:pPr>
        <w:rPr>
          <w:rFonts w:cs="Arial"/>
          <w:b/>
          <w:noProof/>
          <w:color w:val="FFFFFF"/>
          <w:sz w:val="44"/>
          <w:szCs w:val="44"/>
        </w:rPr>
      </w:pPr>
      <w:r>
        <w:rPr>
          <w:rFonts w:cs="Arial"/>
          <w:b/>
          <w:noProof/>
          <w:color w:val="FFFFFF"/>
          <w:sz w:val="44"/>
          <w:szCs w:val="44"/>
        </w:rPr>
        <w:t xml:space="preserve">Additional High Needs </w:t>
      </w:r>
      <w:r w:rsidR="001D3250">
        <w:rPr>
          <w:rFonts w:cs="Arial"/>
          <w:b/>
          <w:noProof/>
          <w:color w:val="FFFFFF"/>
          <w:sz w:val="44"/>
          <w:szCs w:val="44"/>
        </w:rPr>
        <w:t xml:space="preserve">Fund Criteria </w:t>
      </w:r>
      <w:r w:rsidR="00292EFF">
        <w:rPr>
          <w:rFonts w:cs="Arial"/>
          <w:b/>
          <w:noProof/>
          <w:color w:val="FFFFFF"/>
          <w:sz w:val="44"/>
          <w:szCs w:val="44"/>
        </w:rPr>
        <w:t>20</w:t>
      </w:r>
      <w:r w:rsidR="001D3250">
        <w:rPr>
          <w:rFonts w:cs="Arial"/>
          <w:b/>
          <w:noProof/>
          <w:color w:val="FFFFFF"/>
          <w:sz w:val="44"/>
          <w:szCs w:val="44"/>
        </w:rPr>
        <w:t>2</w:t>
      </w:r>
      <w:r w:rsidR="00B22E6A">
        <w:rPr>
          <w:rFonts w:cs="Arial"/>
          <w:b/>
          <w:noProof/>
          <w:color w:val="FFFFFF"/>
          <w:sz w:val="44"/>
          <w:szCs w:val="44"/>
        </w:rPr>
        <w:t>2</w:t>
      </w:r>
      <w:r w:rsidR="001D3250">
        <w:rPr>
          <w:rFonts w:cs="Arial"/>
          <w:b/>
          <w:noProof/>
          <w:color w:val="FFFFFF"/>
          <w:sz w:val="44"/>
          <w:szCs w:val="44"/>
        </w:rPr>
        <w:t>/2</w:t>
      </w:r>
      <w:r w:rsidR="00B22E6A">
        <w:rPr>
          <w:rFonts w:cs="Arial"/>
          <w:b/>
          <w:noProof/>
          <w:color w:val="FFFFFF"/>
          <w:sz w:val="44"/>
          <w:szCs w:val="44"/>
        </w:rPr>
        <w:t>3</w:t>
      </w:r>
    </w:p>
    <w:p w:rsidR="002D1DD6" w:rsidRDefault="002D1DD6" w:rsidP="001A4AF8">
      <w:pPr>
        <w:rPr>
          <w:rFonts w:cs="Arial"/>
          <w:b/>
          <w:noProof/>
          <w:color w:val="FFFFFF"/>
          <w:sz w:val="44"/>
          <w:szCs w:val="44"/>
        </w:rPr>
      </w:pPr>
    </w:p>
    <w:p w:rsidR="008B551E" w:rsidRPr="00292EFF" w:rsidRDefault="008B551E" w:rsidP="001A4AF8">
      <w:pPr>
        <w:rPr>
          <w:rFonts w:cs="Arial"/>
          <w:b/>
          <w:noProof/>
          <w:color w:val="FFFFFF"/>
          <w:sz w:val="44"/>
          <w:szCs w:val="44"/>
        </w:rPr>
      </w:pPr>
    </w:p>
    <w:p w:rsidR="001A4AF8" w:rsidRDefault="001A4AF8" w:rsidP="001A4AF8">
      <w:pPr>
        <w:rPr>
          <w:szCs w:val="24"/>
        </w:rPr>
      </w:pPr>
    </w:p>
    <w:p w:rsidR="002D1DD6" w:rsidRPr="002D1DD6" w:rsidRDefault="002D1DD6" w:rsidP="002D1DD6">
      <w:pPr>
        <w:numPr>
          <w:ilvl w:val="0"/>
          <w:numId w:val="7"/>
        </w:numPr>
        <w:rPr>
          <w:rFonts w:cs="Arial"/>
          <w:b/>
        </w:rPr>
      </w:pPr>
      <w:r w:rsidRPr="002D1DD6">
        <w:rPr>
          <w:rFonts w:cs="Arial"/>
          <w:b/>
        </w:rPr>
        <w:t>Background</w:t>
      </w:r>
    </w:p>
    <w:p w:rsidR="002D1DD6" w:rsidRDefault="002D1DD6" w:rsidP="002D1DD6">
      <w:pPr>
        <w:ind w:left="360"/>
        <w:rPr>
          <w:rFonts w:cs="Arial"/>
        </w:rPr>
      </w:pPr>
    </w:p>
    <w:p w:rsidR="002D1DD6" w:rsidRDefault="002D1DD6" w:rsidP="00C666E4">
      <w:pPr>
        <w:numPr>
          <w:ilvl w:val="1"/>
          <w:numId w:val="7"/>
        </w:numPr>
        <w:jc w:val="both"/>
        <w:rPr>
          <w:rFonts w:cs="Arial"/>
        </w:rPr>
      </w:pPr>
      <w:r>
        <w:rPr>
          <w:rFonts w:cs="Arial"/>
        </w:rPr>
        <w:t xml:space="preserve">Local authorities can provide additional targeted support to individual schools </w:t>
      </w:r>
      <w:r w:rsidR="00CC3A1D">
        <w:rPr>
          <w:rFonts w:cs="Arial"/>
        </w:rPr>
        <w:t xml:space="preserve">(maintained and academies) </w:t>
      </w:r>
      <w:r w:rsidRPr="004A7BB0">
        <w:rPr>
          <w:rFonts w:cs="Arial"/>
          <w:u w:val="single"/>
        </w:rPr>
        <w:t>from its high needs block</w:t>
      </w:r>
      <w:r>
        <w:rPr>
          <w:rFonts w:cs="Arial"/>
        </w:rPr>
        <w:t xml:space="preserve"> where it would be unreasonable to expect the first £6,000 of support for that schools high needs pupils to be met by them from its (pre 16) formula funding due to an exceptional number of such pupils on its roll. </w:t>
      </w:r>
    </w:p>
    <w:p w:rsidR="002D1DD6" w:rsidRDefault="002D1DD6" w:rsidP="00C666E4">
      <w:pPr>
        <w:ind w:left="360"/>
        <w:jc w:val="both"/>
        <w:rPr>
          <w:rFonts w:cs="Arial"/>
        </w:rPr>
      </w:pPr>
    </w:p>
    <w:p w:rsidR="002D1DD6" w:rsidRDefault="002D1DD6" w:rsidP="00C666E4">
      <w:pPr>
        <w:numPr>
          <w:ilvl w:val="1"/>
          <w:numId w:val="7"/>
        </w:numPr>
        <w:jc w:val="both"/>
        <w:rPr>
          <w:rFonts w:cs="Arial"/>
        </w:rPr>
      </w:pPr>
      <w:r>
        <w:rPr>
          <w:rFonts w:cs="Arial"/>
        </w:rPr>
        <w:t xml:space="preserve">The guidance from the </w:t>
      </w:r>
      <w:proofErr w:type="spellStart"/>
      <w:r>
        <w:rPr>
          <w:rFonts w:cs="Arial"/>
        </w:rPr>
        <w:t>DfE</w:t>
      </w:r>
      <w:proofErr w:type="spellEnd"/>
      <w:r>
        <w:rPr>
          <w:rFonts w:cs="Arial"/>
        </w:rPr>
        <w:t xml:space="preserve"> has stated that the additional funding paid to schools should be formulaic based on the number of high needs pupils in each school. It cannot take into account lower level needs of pupils. The formula or criteria should be as clear and simple as possible, and should be devised so that additional funds are targeted only to a minority of schools which have particular difficulties because </w:t>
      </w:r>
      <w:proofErr w:type="gramStart"/>
      <w:r>
        <w:rPr>
          <w:rFonts w:cs="Arial"/>
        </w:rPr>
        <w:t>of</w:t>
      </w:r>
      <w:proofErr w:type="gramEnd"/>
      <w:r>
        <w:rPr>
          <w:rFonts w:cs="Arial"/>
        </w:rPr>
        <w:t xml:space="preserve"> their </w:t>
      </w:r>
      <w:r w:rsidRPr="00E86085">
        <w:rPr>
          <w:rFonts w:cs="Arial"/>
          <w:b/>
        </w:rPr>
        <w:t>disproportionate number</w:t>
      </w:r>
      <w:r>
        <w:rPr>
          <w:rFonts w:cs="Arial"/>
        </w:rPr>
        <w:t xml:space="preserve"> of high needs pupils or their characteristics.</w:t>
      </w:r>
    </w:p>
    <w:p w:rsidR="002D1DD6" w:rsidRDefault="002D1DD6" w:rsidP="00C666E4">
      <w:pPr>
        <w:jc w:val="both"/>
        <w:rPr>
          <w:rFonts w:cs="Arial"/>
        </w:rPr>
      </w:pPr>
    </w:p>
    <w:p w:rsidR="002D1DD6" w:rsidRPr="00CE66D1" w:rsidRDefault="002D1DD6" w:rsidP="00C666E4">
      <w:pPr>
        <w:numPr>
          <w:ilvl w:val="1"/>
          <w:numId w:val="7"/>
        </w:numPr>
        <w:jc w:val="both"/>
        <w:rPr>
          <w:rFonts w:cs="Arial"/>
        </w:rPr>
      </w:pPr>
      <w:r>
        <w:rPr>
          <w:rFonts w:cs="Arial"/>
        </w:rPr>
        <w:t xml:space="preserve">The Schools’ Forum agreed methodology </w:t>
      </w:r>
      <w:r w:rsidRPr="00CE66D1">
        <w:rPr>
          <w:rFonts w:cs="Arial"/>
        </w:rPr>
        <w:t>is set out below.</w:t>
      </w:r>
    </w:p>
    <w:p w:rsidR="002D1DD6" w:rsidRPr="00CE66D1" w:rsidRDefault="002D1DD6" w:rsidP="00C666E4">
      <w:pPr>
        <w:jc w:val="both"/>
        <w:rPr>
          <w:rFonts w:cs="Arial"/>
        </w:rPr>
      </w:pPr>
    </w:p>
    <w:p w:rsidR="002D1DD6" w:rsidRPr="00CE66D1" w:rsidRDefault="002D1DD6" w:rsidP="00C666E4">
      <w:pPr>
        <w:numPr>
          <w:ilvl w:val="0"/>
          <w:numId w:val="7"/>
        </w:numPr>
        <w:jc w:val="both"/>
        <w:rPr>
          <w:rFonts w:cs="Arial"/>
          <w:b/>
        </w:rPr>
      </w:pPr>
      <w:r w:rsidRPr="00CE66D1">
        <w:rPr>
          <w:rFonts w:cs="Arial"/>
          <w:b/>
        </w:rPr>
        <w:t>Methodology and Process</w:t>
      </w:r>
    </w:p>
    <w:p w:rsidR="002D1DD6" w:rsidRPr="00CE66D1" w:rsidRDefault="002D1DD6" w:rsidP="00C666E4">
      <w:pPr>
        <w:ind w:left="360"/>
        <w:jc w:val="both"/>
        <w:rPr>
          <w:rFonts w:cs="Arial"/>
          <w:b/>
        </w:rPr>
      </w:pPr>
    </w:p>
    <w:p w:rsidR="002D1DD6" w:rsidRPr="00CE66D1" w:rsidRDefault="002D1DD6" w:rsidP="00C666E4">
      <w:pPr>
        <w:numPr>
          <w:ilvl w:val="1"/>
          <w:numId w:val="7"/>
        </w:numPr>
        <w:jc w:val="both"/>
        <w:rPr>
          <w:rFonts w:cs="Arial"/>
        </w:rPr>
      </w:pPr>
      <w:r w:rsidRPr="00CE66D1">
        <w:rPr>
          <w:rFonts w:cs="Arial"/>
        </w:rPr>
        <w:t>There will be an additional payment to schools where the actual number of pre 16 high needs pupils (i.e. pupils in mainstream receiving top ups) is significantly (1%) above the average of all schools in West Berkshire.</w:t>
      </w:r>
    </w:p>
    <w:p w:rsidR="002D1DD6" w:rsidRPr="00CE66D1" w:rsidRDefault="002D1DD6" w:rsidP="00C666E4">
      <w:pPr>
        <w:ind w:left="360"/>
        <w:jc w:val="both"/>
        <w:rPr>
          <w:rFonts w:cs="Arial"/>
        </w:rPr>
      </w:pPr>
    </w:p>
    <w:p w:rsidR="002D1DD6" w:rsidRPr="00CE66D1" w:rsidRDefault="002D1DD6" w:rsidP="00C666E4">
      <w:pPr>
        <w:numPr>
          <w:ilvl w:val="1"/>
          <w:numId w:val="7"/>
        </w:numPr>
        <w:jc w:val="both"/>
        <w:rPr>
          <w:rFonts w:cs="Arial"/>
        </w:rPr>
      </w:pPr>
      <w:r w:rsidRPr="00CE66D1">
        <w:rPr>
          <w:rFonts w:cs="Arial"/>
        </w:rPr>
        <w:t xml:space="preserve">Where the actual number of pre 16 high needs pupils per school is 1% above the West Berkshire </w:t>
      </w:r>
      <w:r w:rsidRPr="00356C4D">
        <w:rPr>
          <w:rFonts w:cs="Arial"/>
        </w:rPr>
        <w:t xml:space="preserve">average (the average </w:t>
      </w:r>
      <w:r w:rsidR="001D3250" w:rsidRPr="00356C4D">
        <w:rPr>
          <w:rFonts w:cs="Arial"/>
        </w:rPr>
        <w:t>will be</w:t>
      </w:r>
      <w:r w:rsidRPr="00356C4D">
        <w:rPr>
          <w:rFonts w:cs="Arial"/>
        </w:rPr>
        <w:t xml:space="preserve"> calculated using the number of high needs pu</w:t>
      </w:r>
      <w:r w:rsidR="001D3250" w:rsidRPr="00356C4D">
        <w:rPr>
          <w:rFonts w:cs="Arial"/>
        </w:rPr>
        <w:t>pils in January 202</w:t>
      </w:r>
      <w:r w:rsidR="00B22E6A">
        <w:rPr>
          <w:rFonts w:cs="Arial"/>
        </w:rPr>
        <w:t>2</w:t>
      </w:r>
      <w:r w:rsidRPr="00356C4D">
        <w:rPr>
          <w:rFonts w:cs="Arial"/>
        </w:rPr>
        <w:t xml:space="preserve"> and shown in the pink column on the attachment),</w:t>
      </w:r>
      <w:r w:rsidRPr="00CE66D1">
        <w:rPr>
          <w:rFonts w:cs="Arial"/>
        </w:rPr>
        <w:t xml:space="preserve"> each additional high needs pupil will attract £6,000 in addition to the top up. The number of additional pupils will be calculated on a proportionate basis rather than rounding up or down to whole pupil numbers to avoid a funding cliff-edge.</w:t>
      </w:r>
    </w:p>
    <w:p w:rsidR="002D1DD6" w:rsidRPr="00CE66D1" w:rsidRDefault="002D1DD6" w:rsidP="00C666E4">
      <w:pPr>
        <w:pStyle w:val="ListParagraph"/>
        <w:jc w:val="both"/>
        <w:rPr>
          <w:rFonts w:cs="Arial"/>
        </w:rPr>
      </w:pPr>
    </w:p>
    <w:p w:rsidR="002D1DD6" w:rsidRPr="00CE66D1" w:rsidRDefault="002D1DD6" w:rsidP="00C666E4">
      <w:pPr>
        <w:numPr>
          <w:ilvl w:val="1"/>
          <w:numId w:val="7"/>
        </w:numPr>
        <w:jc w:val="both"/>
        <w:rPr>
          <w:rFonts w:cs="Arial"/>
        </w:rPr>
      </w:pPr>
      <w:r w:rsidRPr="00CE66D1">
        <w:rPr>
          <w:rFonts w:cs="Arial"/>
        </w:rPr>
        <w:t xml:space="preserve">The funding will be paid pro rata each term based on the actual number of pre 16 pupils receiving top ups at that time for the number of days in that term i.e. calculated and paid in April, October and January. </w:t>
      </w:r>
    </w:p>
    <w:p w:rsidR="002D1DD6" w:rsidRPr="00CE66D1" w:rsidRDefault="002D1DD6" w:rsidP="00C666E4">
      <w:pPr>
        <w:pStyle w:val="ListParagraph"/>
        <w:jc w:val="both"/>
        <w:rPr>
          <w:rFonts w:cs="Arial"/>
        </w:rPr>
      </w:pPr>
    </w:p>
    <w:p w:rsidR="002D1DD6" w:rsidRDefault="002D1DD6" w:rsidP="00C666E4">
      <w:pPr>
        <w:numPr>
          <w:ilvl w:val="1"/>
          <w:numId w:val="7"/>
        </w:numPr>
        <w:jc w:val="both"/>
        <w:rPr>
          <w:rFonts w:cs="Arial"/>
        </w:rPr>
      </w:pPr>
      <w:r w:rsidRPr="00CE66D1">
        <w:rPr>
          <w:rFonts w:cs="Arial"/>
        </w:rPr>
        <w:t xml:space="preserve">The attached </w:t>
      </w:r>
      <w:r w:rsidR="00EC5A1E">
        <w:rPr>
          <w:rFonts w:cs="Arial"/>
        </w:rPr>
        <w:t>table</w:t>
      </w:r>
      <w:r w:rsidRPr="00FF58B1">
        <w:rPr>
          <w:rFonts w:cs="Arial"/>
        </w:rPr>
        <w:t xml:space="preserve"> shows for each school how many high needs pupils equals the average + 1%</w:t>
      </w:r>
      <w:r w:rsidRPr="00CE66D1">
        <w:rPr>
          <w:rFonts w:cs="Arial"/>
        </w:rPr>
        <w:t xml:space="preserve"> (the pink column) before qualifying for additional funding in 20</w:t>
      </w:r>
      <w:r w:rsidR="00B22E6A">
        <w:rPr>
          <w:rFonts w:cs="Arial"/>
        </w:rPr>
        <w:t>22</w:t>
      </w:r>
      <w:r w:rsidRPr="00CE66D1">
        <w:rPr>
          <w:rFonts w:cs="Arial"/>
        </w:rPr>
        <w:t>/</w:t>
      </w:r>
      <w:r w:rsidR="00C666E4">
        <w:rPr>
          <w:rFonts w:cs="Arial"/>
        </w:rPr>
        <w:t>2</w:t>
      </w:r>
      <w:r w:rsidR="00B22E6A">
        <w:rPr>
          <w:rFonts w:cs="Arial"/>
        </w:rPr>
        <w:t>3</w:t>
      </w:r>
      <w:r w:rsidRPr="00CE66D1">
        <w:rPr>
          <w:rFonts w:cs="Arial"/>
        </w:rPr>
        <w:t xml:space="preserve">. Schools will receive £6,000 per 1.0 high needs pupils they have on roll </w:t>
      </w:r>
      <w:r w:rsidRPr="00CE66D1">
        <w:rPr>
          <w:rFonts w:cs="Arial"/>
          <w:i/>
        </w:rPr>
        <w:t xml:space="preserve">above this average number. </w:t>
      </w:r>
      <w:r w:rsidRPr="00CE66D1">
        <w:rPr>
          <w:rFonts w:cs="Arial"/>
        </w:rPr>
        <w:t>Note that funding may be a proportion of £6,000 if the calculation is less than 1.0.</w:t>
      </w:r>
    </w:p>
    <w:p w:rsidR="002D1DD6" w:rsidRPr="002D1DD6" w:rsidRDefault="002D1DD6" w:rsidP="00C666E4">
      <w:pPr>
        <w:jc w:val="both"/>
        <w:rPr>
          <w:rFonts w:cs="Arial"/>
        </w:rPr>
      </w:pPr>
    </w:p>
    <w:p w:rsidR="002D1DD6" w:rsidRPr="002D1DD6" w:rsidRDefault="002D1DD6" w:rsidP="00C666E4">
      <w:pPr>
        <w:numPr>
          <w:ilvl w:val="1"/>
          <w:numId w:val="7"/>
        </w:numPr>
        <w:jc w:val="both"/>
        <w:rPr>
          <w:rFonts w:cs="Arial"/>
        </w:rPr>
      </w:pPr>
      <w:r w:rsidRPr="002D1DD6">
        <w:rPr>
          <w:rFonts w:cs="Arial"/>
        </w:rPr>
        <w:t>The amount of funding to be set aside for this purpose in t</w:t>
      </w:r>
      <w:r w:rsidR="00B22E6A">
        <w:rPr>
          <w:rFonts w:cs="Arial"/>
        </w:rPr>
        <w:t>he high needs budget will be £4</w:t>
      </w:r>
      <w:r w:rsidRPr="002D1DD6">
        <w:rPr>
          <w:rFonts w:cs="Arial"/>
        </w:rPr>
        <w:t>0,000.</w:t>
      </w:r>
    </w:p>
    <w:p w:rsidR="00C666E4" w:rsidRDefault="00C666E4" w:rsidP="00C666E4">
      <w:pPr>
        <w:jc w:val="both"/>
      </w:pPr>
    </w:p>
    <w:p w:rsidR="002D1DD6" w:rsidRDefault="00034F86" w:rsidP="00C666E4">
      <w:pPr>
        <w:ind w:left="-426"/>
        <w:jc w:val="both"/>
        <w:rPr>
          <w:rFonts w:cs="Arial"/>
          <w:b/>
        </w:rPr>
      </w:pPr>
      <w:bookmarkStart w:id="0" w:name="_GoBack"/>
      <w:r w:rsidRPr="00034F86">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25pt;height:774.15pt">
            <v:imagedata r:id="rId8" o:title=""/>
          </v:shape>
        </w:pict>
      </w:r>
      <w:bookmarkEnd w:id="0"/>
    </w:p>
    <w:sectPr w:rsidR="002D1DD6" w:rsidSect="008B551E">
      <w:footerReference w:type="default" r:id="rId9"/>
      <w:headerReference w:type="first" r:id="rId10"/>
      <w:type w:val="nextColumn"/>
      <w:pgSz w:w="11907" w:h="16840" w:code="9"/>
      <w:pgMar w:top="540"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C2" w:rsidRDefault="008A44C2">
      <w:r>
        <w:separator/>
      </w:r>
    </w:p>
  </w:endnote>
  <w:endnote w:type="continuationSeparator" w:id="0">
    <w:p w:rsidR="008A44C2" w:rsidRDefault="008A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73" w:rsidRPr="00B9544E" w:rsidRDefault="00783273" w:rsidP="001A4AF8">
    <w:pPr>
      <w:pStyle w:val="Footer"/>
      <w:pBdr>
        <w:top w:val="single" w:sz="4" w:space="1" w:color="auto"/>
      </w:pBdr>
      <w:tabs>
        <w:tab w:val="center" w:pos="5103"/>
        <w:tab w:val="right" w:pos="9639"/>
      </w:tabs>
      <w:jc w:val="center"/>
      <w:rPr>
        <w:sz w:val="6"/>
        <w:szCs w:val="24"/>
      </w:rPr>
    </w:pPr>
  </w:p>
  <w:p w:rsidR="00783273" w:rsidRPr="00B9544E" w:rsidRDefault="00783273"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034F86">
      <w:rPr>
        <w:rStyle w:val="PageNumber"/>
        <w:noProof/>
        <w:szCs w:val="24"/>
      </w:rPr>
      <w:t>2</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034F86">
      <w:rPr>
        <w:rStyle w:val="PageNumber"/>
        <w:noProof/>
        <w:szCs w:val="24"/>
      </w:rPr>
      <w:t>2</w:t>
    </w:r>
    <w:r w:rsidRPr="00B9544E">
      <w:rPr>
        <w:rStyle w:val="PageNumber"/>
        <w:szCs w:val="24"/>
      </w:rPr>
      <w:fldChar w:fldCharType="end"/>
    </w:r>
  </w:p>
  <w:p w:rsidR="00783273" w:rsidRPr="001A4AF8" w:rsidRDefault="00783273"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C2" w:rsidRDefault="008A44C2">
      <w:r>
        <w:separator/>
      </w:r>
    </w:p>
  </w:footnote>
  <w:footnote w:type="continuationSeparator" w:id="0">
    <w:p w:rsidR="008A44C2" w:rsidRDefault="008A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73" w:rsidRPr="001A4AF8" w:rsidRDefault="00034F86" w:rsidP="001A4AF8">
    <w:r>
      <w:rPr>
        <w:noProof/>
      </w:rPr>
      <w:pict>
        <v:rect id="_x0000_s2052" style="position:absolute;margin-left:-57.55pt;margin-top:-92.4pt;width:596.25pt;height:235.3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0632"/>
    <w:multiLevelType w:val="multilevel"/>
    <w:tmpl w:val="6BE4631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FA9321C"/>
    <w:multiLevelType w:val="multilevel"/>
    <w:tmpl w:val="913AFB0A"/>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94E2D92"/>
    <w:multiLevelType w:val="multilevel"/>
    <w:tmpl w:val="659479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4"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 w15:restartNumberingAfterBreak="0">
    <w:nsid w:val="77A24CB1"/>
    <w:multiLevelType w:val="hybridMultilevel"/>
    <w:tmpl w:val="CABAFC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C2289E"/>
    <w:multiLevelType w:val="multilevel"/>
    <w:tmpl w:val="22BE4B8E"/>
    <w:lvl w:ilvl="0">
      <w:start w:val="1"/>
      <w:numFmt w:val="decimal"/>
      <w:pStyle w:val="Heading1"/>
      <w:lvlText w:val="%1."/>
      <w:lvlJc w:val="left"/>
      <w:pPr>
        <w:tabs>
          <w:tab w:val="num" w:pos="0"/>
        </w:tabs>
        <w:ind w:left="0" w:firstLine="0"/>
      </w:pPr>
      <w:rPr>
        <w:rFonts w:hint="default"/>
        <w:b w:val="0"/>
        <w:i w:val="0"/>
      </w:rPr>
    </w:lvl>
    <w:lvl w:ilvl="1">
      <w:start w:val="1"/>
      <w:numFmt w:val="decimal"/>
      <w:pStyle w:val="Heading2"/>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34F86"/>
    <w:rsid w:val="00047AD6"/>
    <w:rsid w:val="00067463"/>
    <w:rsid w:val="000853C7"/>
    <w:rsid w:val="000E1245"/>
    <w:rsid w:val="000E2134"/>
    <w:rsid w:val="000F44D1"/>
    <w:rsid w:val="00125513"/>
    <w:rsid w:val="00141B27"/>
    <w:rsid w:val="00151BF8"/>
    <w:rsid w:val="00161CE2"/>
    <w:rsid w:val="00161F56"/>
    <w:rsid w:val="0017099C"/>
    <w:rsid w:val="001A4AF8"/>
    <w:rsid w:val="001B6984"/>
    <w:rsid w:val="001C253B"/>
    <w:rsid w:val="001C76A2"/>
    <w:rsid w:val="001D0986"/>
    <w:rsid w:val="001D3250"/>
    <w:rsid w:val="001D395D"/>
    <w:rsid w:val="001F0F78"/>
    <w:rsid w:val="001F11AB"/>
    <w:rsid w:val="00212746"/>
    <w:rsid w:val="00235E07"/>
    <w:rsid w:val="002635E8"/>
    <w:rsid w:val="002725C2"/>
    <w:rsid w:val="00292EFF"/>
    <w:rsid w:val="002D1DD6"/>
    <w:rsid w:val="002F176E"/>
    <w:rsid w:val="002F4BE6"/>
    <w:rsid w:val="00303526"/>
    <w:rsid w:val="0032601D"/>
    <w:rsid w:val="00356C4D"/>
    <w:rsid w:val="00372A01"/>
    <w:rsid w:val="003C225F"/>
    <w:rsid w:val="003E38C4"/>
    <w:rsid w:val="003E7918"/>
    <w:rsid w:val="003F1FC4"/>
    <w:rsid w:val="00416FF1"/>
    <w:rsid w:val="004249D0"/>
    <w:rsid w:val="00440DCE"/>
    <w:rsid w:val="004659E3"/>
    <w:rsid w:val="004C0FB3"/>
    <w:rsid w:val="004E03C3"/>
    <w:rsid w:val="005666D2"/>
    <w:rsid w:val="0057766D"/>
    <w:rsid w:val="0058582C"/>
    <w:rsid w:val="005A1395"/>
    <w:rsid w:val="005B5C66"/>
    <w:rsid w:val="00644DD0"/>
    <w:rsid w:val="006822B8"/>
    <w:rsid w:val="0069622C"/>
    <w:rsid w:val="006B0D8E"/>
    <w:rsid w:val="006C0487"/>
    <w:rsid w:val="006D6B2A"/>
    <w:rsid w:val="006E0E6C"/>
    <w:rsid w:val="006F756F"/>
    <w:rsid w:val="00736F86"/>
    <w:rsid w:val="00747A4E"/>
    <w:rsid w:val="00756DD9"/>
    <w:rsid w:val="00783273"/>
    <w:rsid w:val="007870D1"/>
    <w:rsid w:val="007A57B0"/>
    <w:rsid w:val="007A701D"/>
    <w:rsid w:val="007B0C1B"/>
    <w:rsid w:val="00814BAD"/>
    <w:rsid w:val="0081580E"/>
    <w:rsid w:val="008444DD"/>
    <w:rsid w:val="008A2999"/>
    <w:rsid w:val="008A44C2"/>
    <w:rsid w:val="008B551E"/>
    <w:rsid w:val="008D7B83"/>
    <w:rsid w:val="008E4FD0"/>
    <w:rsid w:val="00925531"/>
    <w:rsid w:val="0095266F"/>
    <w:rsid w:val="00966AD7"/>
    <w:rsid w:val="009A21A7"/>
    <w:rsid w:val="009C17DC"/>
    <w:rsid w:val="009C63BC"/>
    <w:rsid w:val="009F29E1"/>
    <w:rsid w:val="00A05B24"/>
    <w:rsid w:val="00A05D40"/>
    <w:rsid w:val="00A179A0"/>
    <w:rsid w:val="00A57A11"/>
    <w:rsid w:val="00A65C3D"/>
    <w:rsid w:val="00A7297A"/>
    <w:rsid w:val="00A77E1E"/>
    <w:rsid w:val="00A86138"/>
    <w:rsid w:val="00A95DAC"/>
    <w:rsid w:val="00A96AE2"/>
    <w:rsid w:val="00AA14BB"/>
    <w:rsid w:val="00AA7EBC"/>
    <w:rsid w:val="00AC6917"/>
    <w:rsid w:val="00AC75CE"/>
    <w:rsid w:val="00B14759"/>
    <w:rsid w:val="00B22E6A"/>
    <w:rsid w:val="00B24FF7"/>
    <w:rsid w:val="00B36757"/>
    <w:rsid w:val="00B376F4"/>
    <w:rsid w:val="00B503BD"/>
    <w:rsid w:val="00B827A8"/>
    <w:rsid w:val="00BE5387"/>
    <w:rsid w:val="00C55EBB"/>
    <w:rsid w:val="00C57C13"/>
    <w:rsid w:val="00C666E4"/>
    <w:rsid w:val="00C955FF"/>
    <w:rsid w:val="00CC3A1D"/>
    <w:rsid w:val="00CE6645"/>
    <w:rsid w:val="00CF2F97"/>
    <w:rsid w:val="00D35AD6"/>
    <w:rsid w:val="00D85BD7"/>
    <w:rsid w:val="00D925E1"/>
    <w:rsid w:val="00DA7BF7"/>
    <w:rsid w:val="00DD582D"/>
    <w:rsid w:val="00E02992"/>
    <w:rsid w:val="00E57D36"/>
    <w:rsid w:val="00E73F81"/>
    <w:rsid w:val="00EC5A1E"/>
    <w:rsid w:val="00EE146A"/>
    <w:rsid w:val="00F25519"/>
    <w:rsid w:val="00F3113A"/>
    <w:rsid w:val="00F4581A"/>
    <w:rsid w:val="00F73350"/>
    <w:rsid w:val="00FA3284"/>
    <w:rsid w:val="00FB0AD5"/>
    <w:rsid w:val="00FC14C4"/>
    <w:rsid w:val="00FC5142"/>
    <w:rsid w:val="00FD3BFA"/>
    <w:rsid w:val="00FE0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15:chartTrackingRefBased/>
  <w15:docId w15:val="{3E005273-83E4-41BD-850C-CF2CCA23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CE"/>
    <w:rPr>
      <w:rFonts w:ascii="Arial" w:hAnsi="Arial"/>
      <w:sz w:val="24"/>
    </w:rPr>
  </w:style>
  <w:style w:type="paragraph" w:styleId="Heading1">
    <w:name w:val="heading 1"/>
    <w:basedOn w:val="Normal"/>
    <w:next w:val="Normal"/>
    <w:qFormat/>
    <w:rsid w:val="00440DCE"/>
    <w:pPr>
      <w:keepNext/>
      <w:numPr>
        <w:numId w:val="3"/>
      </w:numPr>
      <w:spacing w:after="240"/>
      <w:outlineLvl w:val="0"/>
    </w:pPr>
    <w:rPr>
      <w:b/>
      <w:kern w:val="28"/>
    </w:rPr>
  </w:style>
  <w:style w:type="paragraph" w:styleId="Heading2">
    <w:name w:val="heading 2"/>
    <w:basedOn w:val="Normal"/>
    <w:next w:val="Normal"/>
    <w:qFormat/>
    <w:rsid w:val="00440DCE"/>
    <w:pPr>
      <w:numPr>
        <w:ilvl w:val="1"/>
        <w:numId w:val="3"/>
      </w:numPr>
      <w:spacing w:after="240"/>
      <w:outlineLvl w:val="1"/>
    </w:p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semiHidden/>
    <w:rsid w:val="00440DCE"/>
    <w:rPr>
      <w:sz w:val="20"/>
    </w:rPr>
  </w:style>
  <w:style w:type="character" w:styleId="FootnoteReference">
    <w:name w:val="footnote reference"/>
    <w:basedOn w:val="DefaultParagraphFont"/>
    <w:semiHidden/>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basedOn w:val="DefaultParagraphFont"/>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character" w:styleId="Hyperlink">
    <w:name w:val="Hyperlink"/>
    <w:basedOn w:val="DefaultParagraphFont"/>
    <w:rsid w:val="00966AD7"/>
    <w:rPr>
      <w:rFonts w:ascii="Arial" w:hAnsi="Arial"/>
      <w:color w:val="0000FF"/>
      <w:u w:val="single"/>
    </w:rPr>
  </w:style>
  <w:style w:type="paragraph" w:styleId="ListParagraph">
    <w:name w:val="List Paragraph"/>
    <w:basedOn w:val="Normal"/>
    <w:uiPriority w:val="34"/>
    <w:qFormat/>
    <w:rsid w:val="002D1D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A4B61-F029-4571-8CAD-1859BF98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Template>
  <TotalTime>46</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2385</CharactersWithSpaces>
  <SharedDoc>false</SharedDoc>
  <HLinks>
    <vt:vector size="6" baseType="variant">
      <vt:variant>
        <vt:i4>8061010</vt:i4>
      </vt:variant>
      <vt:variant>
        <vt:i4>0</vt:i4>
      </vt:variant>
      <vt:variant>
        <vt:i4>0</vt:i4>
      </vt:variant>
      <vt:variant>
        <vt:i4>5</vt:i4>
      </vt:variant>
      <vt:variant>
        <vt:lpwstr>mailto:claire.white@westberks.gov.uk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Lisa Potts</cp:lastModifiedBy>
  <cp:revision>3</cp:revision>
  <cp:lastPrinted>2017-01-26T13:05:00Z</cp:lastPrinted>
  <dcterms:created xsi:type="dcterms:W3CDTF">2021-09-28T14:50:00Z</dcterms:created>
  <dcterms:modified xsi:type="dcterms:W3CDTF">2021-09-28T16:22:00Z</dcterms:modified>
  <cp:category>Security</cp:category>
</cp:coreProperties>
</file>