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E2" w:rsidRPr="003903BB" w:rsidRDefault="00A96AE2" w:rsidP="003724DC">
      <w:pPr>
        <w:jc w:val="center"/>
        <w:rPr>
          <w:rFonts w:cs="Arial"/>
          <w:b/>
          <w:noProof/>
          <w:color w:val="FFFFFF"/>
          <w:sz w:val="40"/>
          <w:szCs w:val="40"/>
        </w:rPr>
      </w:pPr>
      <w:r w:rsidRPr="003903BB">
        <w:rPr>
          <w:rFonts w:cs="Arial"/>
          <w:b/>
          <w:noProof/>
          <w:color w:val="FFFFFF"/>
          <w:sz w:val="40"/>
          <w:szCs w:val="40"/>
        </w:rPr>
        <w:t xml:space="preserve">West Berkshire Council </w:t>
      </w:r>
      <w:r w:rsidR="00CC19A2" w:rsidRPr="003903BB">
        <w:rPr>
          <w:rFonts w:cs="Arial"/>
          <w:b/>
          <w:noProof/>
          <w:color w:val="FFFFFF"/>
          <w:sz w:val="40"/>
          <w:szCs w:val="40"/>
        </w:rPr>
        <w:t xml:space="preserve">Primary &amp; Secondary </w:t>
      </w:r>
      <w:r w:rsidRPr="003903BB">
        <w:rPr>
          <w:rFonts w:cs="Arial"/>
          <w:b/>
          <w:noProof/>
          <w:color w:val="FFFFFF"/>
          <w:sz w:val="40"/>
          <w:szCs w:val="40"/>
        </w:rPr>
        <w:t>Schools</w:t>
      </w:r>
    </w:p>
    <w:p w:rsidR="00500964" w:rsidRDefault="00230544" w:rsidP="003724DC">
      <w:pPr>
        <w:jc w:val="center"/>
        <w:rPr>
          <w:rFonts w:cs="Arial"/>
          <w:b/>
          <w:noProof/>
          <w:color w:val="FFFFFF"/>
          <w:sz w:val="40"/>
          <w:szCs w:val="40"/>
        </w:rPr>
      </w:pPr>
      <w:r w:rsidRPr="003903BB">
        <w:rPr>
          <w:rFonts w:cs="Arial"/>
          <w:b/>
          <w:noProof/>
          <w:color w:val="FFFFFF"/>
          <w:sz w:val="40"/>
          <w:szCs w:val="40"/>
        </w:rPr>
        <w:t xml:space="preserve">Notes </w:t>
      </w:r>
      <w:r w:rsidR="00DC67BC" w:rsidRPr="003903BB">
        <w:rPr>
          <w:rFonts w:cs="Arial"/>
          <w:b/>
          <w:noProof/>
          <w:color w:val="FFFFFF"/>
          <w:sz w:val="40"/>
          <w:szCs w:val="40"/>
        </w:rPr>
        <w:t>On</w:t>
      </w:r>
      <w:r w:rsidRPr="003903BB">
        <w:rPr>
          <w:rFonts w:cs="Arial"/>
          <w:b/>
          <w:noProof/>
          <w:color w:val="FFFFFF"/>
          <w:sz w:val="40"/>
          <w:szCs w:val="40"/>
        </w:rPr>
        <w:t xml:space="preserve"> Funding Allocations 20</w:t>
      </w:r>
      <w:r w:rsidR="00771585">
        <w:rPr>
          <w:rFonts w:cs="Arial"/>
          <w:b/>
          <w:noProof/>
          <w:color w:val="FFFFFF"/>
          <w:sz w:val="40"/>
          <w:szCs w:val="40"/>
        </w:rPr>
        <w:t>22</w:t>
      </w:r>
      <w:r w:rsidRPr="003903BB">
        <w:rPr>
          <w:rFonts w:cs="Arial"/>
          <w:b/>
          <w:noProof/>
          <w:color w:val="FFFFFF"/>
          <w:sz w:val="40"/>
          <w:szCs w:val="40"/>
        </w:rPr>
        <w:t>/</w:t>
      </w:r>
      <w:r w:rsidR="008A0DD7" w:rsidRPr="003903BB">
        <w:rPr>
          <w:rFonts w:cs="Arial"/>
          <w:b/>
          <w:noProof/>
          <w:color w:val="FFFFFF"/>
          <w:sz w:val="40"/>
          <w:szCs w:val="40"/>
        </w:rPr>
        <w:t>2</w:t>
      </w:r>
      <w:r w:rsidR="00771585">
        <w:rPr>
          <w:rFonts w:cs="Arial"/>
          <w:b/>
          <w:noProof/>
          <w:color w:val="FFFFFF"/>
          <w:sz w:val="40"/>
          <w:szCs w:val="40"/>
        </w:rPr>
        <w:t>3</w:t>
      </w:r>
      <w:r w:rsidRPr="003903BB">
        <w:rPr>
          <w:rFonts w:cs="Arial"/>
          <w:b/>
          <w:noProof/>
          <w:color w:val="FFFFFF"/>
          <w:sz w:val="40"/>
          <w:szCs w:val="40"/>
        </w:rPr>
        <w:t xml:space="preserve"> </w:t>
      </w:r>
    </w:p>
    <w:p w:rsidR="00230544" w:rsidRPr="003903BB" w:rsidRDefault="00230544" w:rsidP="003724DC">
      <w:pPr>
        <w:jc w:val="center"/>
        <w:rPr>
          <w:rFonts w:cs="Arial"/>
          <w:b/>
          <w:noProof/>
          <w:color w:val="FFFFFF"/>
          <w:sz w:val="40"/>
          <w:szCs w:val="40"/>
        </w:rPr>
      </w:pPr>
      <w:r w:rsidRPr="003903BB">
        <w:rPr>
          <w:rFonts w:cs="Arial"/>
          <w:b/>
          <w:noProof/>
          <w:color w:val="FFFFFF"/>
          <w:sz w:val="40"/>
          <w:szCs w:val="40"/>
        </w:rPr>
        <w:t>(</w:t>
      </w:r>
      <w:r w:rsidR="00750604" w:rsidRPr="003903BB">
        <w:rPr>
          <w:rFonts w:cs="Arial"/>
          <w:b/>
          <w:noProof/>
          <w:color w:val="FFFFFF"/>
          <w:sz w:val="40"/>
          <w:szCs w:val="40"/>
        </w:rPr>
        <w:t>issued January</w:t>
      </w:r>
      <w:r w:rsidR="008A0DD7" w:rsidRPr="003903BB">
        <w:rPr>
          <w:rFonts w:cs="Arial"/>
          <w:b/>
          <w:noProof/>
          <w:color w:val="FFFFFF"/>
          <w:sz w:val="40"/>
          <w:szCs w:val="40"/>
        </w:rPr>
        <w:t xml:space="preserve"> </w:t>
      </w:r>
      <w:r w:rsidRPr="003903BB">
        <w:rPr>
          <w:rFonts w:cs="Arial"/>
          <w:b/>
          <w:noProof/>
          <w:color w:val="FFFFFF"/>
          <w:sz w:val="40"/>
          <w:szCs w:val="40"/>
        </w:rPr>
        <w:t>20</w:t>
      </w:r>
      <w:r w:rsidR="00771585">
        <w:rPr>
          <w:rFonts w:cs="Arial"/>
          <w:b/>
          <w:noProof/>
          <w:color w:val="FFFFFF"/>
          <w:sz w:val="40"/>
          <w:szCs w:val="40"/>
        </w:rPr>
        <w:t>22</w:t>
      </w:r>
      <w:r w:rsidRPr="003903BB">
        <w:rPr>
          <w:rFonts w:cs="Arial"/>
          <w:b/>
          <w:noProof/>
          <w:color w:val="FFFFFF"/>
          <w:sz w:val="40"/>
          <w:szCs w:val="40"/>
        </w:rPr>
        <w:t>)</w:t>
      </w:r>
    </w:p>
    <w:p w:rsidR="001A4AF8" w:rsidRPr="003903BB" w:rsidRDefault="001A4AF8" w:rsidP="00B36757">
      <w:pPr>
        <w:pBdr>
          <w:bottom w:val="double" w:sz="4" w:space="1" w:color="FFFFFF"/>
        </w:pBdr>
        <w:jc w:val="both"/>
        <w:rPr>
          <w:color w:val="FFFFFF"/>
          <w:sz w:val="40"/>
          <w:szCs w:val="40"/>
        </w:rPr>
      </w:pPr>
    </w:p>
    <w:p w:rsidR="001A4AF8" w:rsidRDefault="001A4AF8" w:rsidP="001A4AF8">
      <w:pPr>
        <w:jc w:val="both"/>
        <w:rPr>
          <w:sz w:val="40"/>
          <w:szCs w:val="40"/>
        </w:rPr>
      </w:pPr>
    </w:p>
    <w:p w:rsidR="003941BF" w:rsidRDefault="003941BF" w:rsidP="00B860FA">
      <w:pPr>
        <w:pStyle w:val="Heading1"/>
      </w:pPr>
      <w:r w:rsidRPr="009579D3">
        <w:t>Background</w:t>
      </w:r>
    </w:p>
    <w:p w:rsidR="00B13864" w:rsidRDefault="00B13864" w:rsidP="00D7595E">
      <w:pPr>
        <w:jc w:val="both"/>
      </w:pPr>
      <w:r>
        <w:t xml:space="preserve">School Funding is </w:t>
      </w:r>
      <w:r w:rsidR="00D7595E">
        <w:t xml:space="preserve">allocated to the local authority </w:t>
      </w:r>
      <w:r w:rsidR="008E36E0">
        <w:t xml:space="preserve">by the Department for Education (DfE) </w:t>
      </w:r>
      <w:r>
        <w:t>through the Dedicated Schools Grant (DSG), and is split into four blocks, each with its own formula to calculate the funding to be distributed to each authority.</w:t>
      </w:r>
    </w:p>
    <w:p w:rsidR="00B13864" w:rsidRDefault="00B13864" w:rsidP="00D7595E">
      <w:pPr>
        <w:jc w:val="both"/>
      </w:pPr>
    </w:p>
    <w:p w:rsidR="00B13864" w:rsidRDefault="00B13864" w:rsidP="00D7595E">
      <w:pPr>
        <w:jc w:val="both"/>
      </w:pPr>
      <w:r w:rsidRPr="00B13864">
        <w:rPr>
          <w:b/>
        </w:rPr>
        <w:t>Schools Block</w:t>
      </w:r>
      <w:r>
        <w:t xml:space="preserve"> – funds mainstream primary and secondary schools through the school formula funding, and growth funding for new growing schools/bulge classes. </w:t>
      </w:r>
    </w:p>
    <w:p w:rsidR="00B13864" w:rsidRDefault="00B13864" w:rsidP="00D7595E">
      <w:pPr>
        <w:jc w:val="both"/>
      </w:pPr>
    </w:p>
    <w:p w:rsidR="00B13864" w:rsidRDefault="00B13864" w:rsidP="00D7595E">
      <w:pPr>
        <w:jc w:val="both"/>
      </w:pPr>
      <w:r w:rsidRPr="00B13864">
        <w:rPr>
          <w:b/>
        </w:rPr>
        <w:t>Early Years Block</w:t>
      </w:r>
      <w:r>
        <w:t xml:space="preserve"> – funds nursery schools, nursery classes in mainstream schools, and early year’s settings in the private, voluntary and independent (PVI) sector through the free entitlement for 2, 3 &amp; 4 year olds.</w:t>
      </w:r>
    </w:p>
    <w:p w:rsidR="00B13864" w:rsidRDefault="00B13864" w:rsidP="00D7595E">
      <w:pPr>
        <w:jc w:val="both"/>
      </w:pPr>
    </w:p>
    <w:p w:rsidR="00B13864" w:rsidRDefault="00B13864" w:rsidP="00D7595E">
      <w:pPr>
        <w:jc w:val="both"/>
      </w:pPr>
      <w:r w:rsidRPr="00B13864">
        <w:rPr>
          <w:b/>
        </w:rPr>
        <w:t>High Needs Block</w:t>
      </w:r>
      <w:r>
        <w:t xml:space="preserve"> – funds places in special schools, resource units and alternative provision, and top up funding for pupils with EHCPs in all settings including non</w:t>
      </w:r>
      <w:r w:rsidR="00A82426">
        <w:t xml:space="preserve"> </w:t>
      </w:r>
      <w:r>
        <w:t>maintained, independent, and further education colleges.</w:t>
      </w:r>
    </w:p>
    <w:p w:rsidR="00B13864" w:rsidRDefault="00B13864" w:rsidP="00D7595E">
      <w:pPr>
        <w:jc w:val="both"/>
      </w:pPr>
    </w:p>
    <w:p w:rsidR="00B13864" w:rsidRDefault="00B13864" w:rsidP="00D7595E">
      <w:pPr>
        <w:jc w:val="both"/>
      </w:pPr>
      <w:r w:rsidRPr="00B13864">
        <w:rPr>
          <w:b/>
        </w:rPr>
        <w:t>Central Schools Services Block</w:t>
      </w:r>
      <w:r>
        <w:t xml:space="preserve"> – funds services provided by the local authority centrally for all schools, such as the admissions service.</w:t>
      </w:r>
    </w:p>
    <w:p w:rsidR="005D5055" w:rsidRDefault="005D5055" w:rsidP="00B13864"/>
    <w:p w:rsidR="005D5055" w:rsidRDefault="005D5055" w:rsidP="00B138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D5055" w:rsidRPr="00FF265C" w:rsidTr="009543EE">
        <w:tc>
          <w:tcPr>
            <w:tcW w:w="9855" w:type="dxa"/>
            <w:shd w:val="clear" w:color="auto" w:fill="4F6228"/>
          </w:tcPr>
          <w:p w:rsidR="005D5055" w:rsidRPr="00FF265C" w:rsidRDefault="005D5055" w:rsidP="009543EE">
            <w:pPr>
              <w:rPr>
                <w:rFonts w:cs="Arial"/>
                <w:b/>
                <w:color w:val="F2F2F2"/>
                <w:sz w:val="28"/>
              </w:rPr>
            </w:pPr>
            <w:r>
              <w:rPr>
                <w:rFonts w:cs="Arial"/>
                <w:b/>
                <w:color w:val="F2F2F2"/>
                <w:sz w:val="28"/>
              </w:rPr>
              <w:t xml:space="preserve">School Formula </w:t>
            </w:r>
            <w:r w:rsidRPr="00FF265C">
              <w:rPr>
                <w:rFonts w:cs="Arial"/>
                <w:b/>
                <w:color w:val="F2F2F2"/>
                <w:sz w:val="28"/>
              </w:rPr>
              <w:t xml:space="preserve"> Funding </w:t>
            </w:r>
            <w:r w:rsidR="006E2698">
              <w:rPr>
                <w:rFonts w:cs="Arial"/>
                <w:b/>
                <w:color w:val="F2F2F2"/>
                <w:sz w:val="28"/>
              </w:rPr>
              <w:t>Allocation</w:t>
            </w:r>
          </w:p>
        </w:tc>
      </w:tr>
    </w:tbl>
    <w:p w:rsidR="00CD4899" w:rsidRDefault="00CD4899" w:rsidP="00B13864"/>
    <w:p w:rsidR="005D5055" w:rsidRPr="005D5055" w:rsidRDefault="005D5055" w:rsidP="005D5055">
      <w:pPr>
        <w:pStyle w:val="Heading1"/>
        <w:rPr>
          <w:rFonts w:cs="Arial"/>
          <w:kern w:val="0"/>
        </w:rPr>
      </w:pPr>
      <w:r w:rsidRPr="005D5055">
        <w:rPr>
          <w:rFonts w:cs="Arial"/>
          <w:kern w:val="0"/>
        </w:rPr>
        <w:t>Schools</w:t>
      </w:r>
      <w:r>
        <w:rPr>
          <w:rFonts w:cs="Arial"/>
          <w:kern w:val="0"/>
        </w:rPr>
        <w:t xml:space="preserve"> Block</w:t>
      </w:r>
    </w:p>
    <w:p w:rsidR="00D7595E" w:rsidRDefault="00771585" w:rsidP="00D7595E">
      <w:pPr>
        <w:jc w:val="both"/>
        <w:rPr>
          <w:rFonts w:cs="Arial"/>
        </w:rPr>
      </w:pPr>
      <w:r>
        <w:rPr>
          <w:rFonts w:cs="Arial"/>
        </w:rPr>
        <w:t>2022/23</w:t>
      </w:r>
      <w:r w:rsidR="00D7595E" w:rsidRPr="003903BB">
        <w:rPr>
          <w:rFonts w:cs="Arial"/>
        </w:rPr>
        <w:t xml:space="preserve"> </w:t>
      </w:r>
      <w:r>
        <w:rPr>
          <w:rFonts w:cs="Arial"/>
        </w:rPr>
        <w:t xml:space="preserve">is the </w:t>
      </w:r>
      <w:r w:rsidRPr="00771585">
        <w:rPr>
          <w:rFonts w:cs="Arial"/>
        </w:rPr>
        <w:t>fifth</w:t>
      </w:r>
      <w:r w:rsidR="00D7595E">
        <w:rPr>
          <w:rFonts w:cs="Arial"/>
        </w:rPr>
        <w:t xml:space="preserve"> year of</w:t>
      </w:r>
      <w:r w:rsidR="00D7595E" w:rsidRPr="003903BB">
        <w:rPr>
          <w:rFonts w:cs="Arial"/>
        </w:rPr>
        <w:t xml:space="preserve"> the National Funding Formula (NFF) operating as a “soft” system. This means that the NFF is used as a methodology of allocating funding to each local authority in a fair and equitable way. </w:t>
      </w:r>
      <w:r w:rsidR="00D7595E">
        <w:rPr>
          <w:rFonts w:cs="Arial"/>
        </w:rPr>
        <w:t>The l</w:t>
      </w:r>
      <w:r w:rsidR="00D7595E" w:rsidRPr="003903BB">
        <w:rPr>
          <w:rFonts w:cs="Arial"/>
        </w:rPr>
        <w:t xml:space="preserve">ocal </w:t>
      </w:r>
      <w:r w:rsidR="00D7595E">
        <w:rPr>
          <w:rFonts w:cs="Arial"/>
        </w:rPr>
        <w:t>a</w:t>
      </w:r>
      <w:r w:rsidR="00D7595E" w:rsidRPr="003903BB">
        <w:rPr>
          <w:rFonts w:cs="Arial"/>
        </w:rPr>
        <w:t>uthorit</w:t>
      </w:r>
      <w:r w:rsidR="00D7595E">
        <w:rPr>
          <w:rFonts w:cs="Arial"/>
        </w:rPr>
        <w:t>y</w:t>
      </w:r>
      <w:r w:rsidR="00D7595E" w:rsidRPr="003903BB">
        <w:rPr>
          <w:rFonts w:cs="Arial"/>
        </w:rPr>
        <w:t xml:space="preserve"> then allocate</w:t>
      </w:r>
      <w:r w:rsidR="00D7595E">
        <w:rPr>
          <w:rFonts w:cs="Arial"/>
        </w:rPr>
        <w:t>s</w:t>
      </w:r>
      <w:r w:rsidR="00D7595E" w:rsidRPr="003903BB">
        <w:rPr>
          <w:rFonts w:cs="Arial"/>
        </w:rPr>
        <w:t xml:space="preserve"> this out to </w:t>
      </w:r>
      <w:r w:rsidR="00D7595E">
        <w:rPr>
          <w:rFonts w:cs="Arial"/>
        </w:rPr>
        <w:t xml:space="preserve">individual primary and secondary </w:t>
      </w:r>
      <w:r w:rsidR="00D7595E" w:rsidRPr="003903BB">
        <w:rPr>
          <w:rFonts w:cs="Arial"/>
        </w:rPr>
        <w:t xml:space="preserve">schools according to a local formula complying with </w:t>
      </w:r>
      <w:r w:rsidR="00D7595E" w:rsidRPr="005D5055">
        <w:rPr>
          <w:rFonts w:cs="Arial"/>
        </w:rPr>
        <w:t>The School and Early Years Finance (England) Regulations</w:t>
      </w:r>
      <w:r w:rsidR="00D7595E" w:rsidRPr="003903BB">
        <w:rPr>
          <w:rFonts w:cs="Arial"/>
        </w:rPr>
        <w:t xml:space="preserve">. </w:t>
      </w:r>
    </w:p>
    <w:p w:rsidR="00D7595E" w:rsidRDefault="00D7595E" w:rsidP="00D7595E">
      <w:pPr>
        <w:jc w:val="both"/>
        <w:rPr>
          <w:rFonts w:cs="Arial"/>
        </w:rPr>
      </w:pPr>
    </w:p>
    <w:p w:rsidR="003941BF" w:rsidRPr="005D5055" w:rsidRDefault="003941BF" w:rsidP="00D7595E">
      <w:pPr>
        <w:pStyle w:val="Heading1"/>
        <w:numPr>
          <w:ilvl w:val="0"/>
          <w:numId w:val="0"/>
        </w:numPr>
        <w:jc w:val="both"/>
        <w:rPr>
          <w:rFonts w:cs="Arial"/>
          <w:b w:val="0"/>
          <w:kern w:val="0"/>
        </w:rPr>
      </w:pPr>
      <w:r w:rsidRPr="005D5055">
        <w:rPr>
          <w:rFonts w:cs="Arial"/>
          <w:b w:val="0"/>
          <w:kern w:val="0"/>
        </w:rPr>
        <w:t>The formula is applicable to all maintained</w:t>
      </w:r>
      <w:r w:rsidR="005218E6" w:rsidRPr="005D5055">
        <w:rPr>
          <w:rFonts w:cs="Arial"/>
          <w:b w:val="0"/>
          <w:kern w:val="0"/>
        </w:rPr>
        <w:t xml:space="preserve"> and</w:t>
      </w:r>
      <w:r w:rsidRPr="005D5055">
        <w:rPr>
          <w:rFonts w:cs="Arial"/>
          <w:b w:val="0"/>
          <w:kern w:val="0"/>
        </w:rPr>
        <w:t xml:space="preserve"> Academy</w:t>
      </w:r>
      <w:r w:rsidR="005218E6" w:rsidRPr="005D5055">
        <w:rPr>
          <w:rFonts w:cs="Arial"/>
          <w:b w:val="0"/>
          <w:kern w:val="0"/>
        </w:rPr>
        <w:t xml:space="preserve"> </w:t>
      </w:r>
      <w:r w:rsidRPr="005D5055">
        <w:rPr>
          <w:rFonts w:cs="Arial"/>
          <w:b w:val="0"/>
          <w:kern w:val="0"/>
        </w:rPr>
        <w:t>primary and secondary schools in West Berkshire. It applies to Reception to Year 11 pupils only – early years (nursery) pupils are funded separately, as are post 16 sixth form students.</w:t>
      </w:r>
    </w:p>
    <w:p w:rsidR="00616751" w:rsidRDefault="004E39AD" w:rsidP="003903BB">
      <w:pPr>
        <w:jc w:val="both"/>
      </w:pPr>
      <w:r>
        <w:t>The D</w:t>
      </w:r>
      <w:r w:rsidR="008E36E0">
        <w:t>fE</w:t>
      </w:r>
      <w:r w:rsidR="00500964">
        <w:t xml:space="preserve"> </w:t>
      </w:r>
      <w:r>
        <w:t>has made</w:t>
      </w:r>
      <w:r w:rsidRPr="004E39AD">
        <w:t xml:space="preserve"> limited changes to t</w:t>
      </w:r>
      <w:r w:rsidR="00771585">
        <w:t>he funding arrangements for 2022/23</w:t>
      </w:r>
      <w:r w:rsidRPr="004E39AD">
        <w:t> </w:t>
      </w:r>
      <w:r w:rsidR="00876CFC">
        <w:t xml:space="preserve">due to the pandemic. </w:t>
      </w:r>
      <w:r w:rsidR="00616751" w:rsidRPr="00F2386A">
        <w:t>The key cha</w:t>
      </w:r>
      <w:r w:rsidR="00340519">
        <w:t xml:space="preserve">nges to the schools </w:t>
      </w:r>
      <w:r w:rsidR="00771585">
        <w:t>NFF in 2022</w:t>
      </w:r>
      <w:r w:rsidR="00D7595E">
        <w:t>/</w:t>
      </w:r>
      <w:r w:rsidR="00771585">
        <w:t>23</w:t>
      </w:r>
      <w:r w:rsidR="00616751" w:rsidRPr="00F2386A">
        <w:t xml:space="preserve"> are: </w:t>
      </w:r>
    </w:p>
    <w:p w:rsidR="00616751" w:rsidRDefault="00616751" w:rsidP="007D74C6">
      <w:pPr>
        <w:ind w:right="123"/>
        <w:jc w:val="both"/>
      </w:pPr>
    </w:p>
    <w:p w:rsidR="00616751" w:rsidRDefault="00616751" w:rsidP="007D74C6">
      <w:pPr>
        <w:numPr>
          <w:ilvl w:val="0"/>
          <w:numId w:val="19"/>
        </w:numPr>
        <w:ind w:right="123"/>
        <w:jc w:val="both"/>
      </w:pPr>
      <w:r w:rsidRPr="00F2386A">
        <w:t xml:space="preserve">3% </w:t>
      </w:r>
      <w:r>
        <w:t xml:space="preserve">increase </w:t>
      </w:r>
      <w:r w:rsidRPr="00F2386A">
        <w:t>to the formula’</w:t>
      </w:r>
      <w:r>
        <w:t xml:space="preserve">s core (i.e. pupil led) factors, with the exception of </w:t>
      </w:r>
      <w:r w:rsidRPr="00F2386A">
        <w:t>Free School Meals which is at 2%</w:t>
      </w:r>
      <w:r>
        <w:t>.</w:t>
      </w:r>
    </w:p>
    <w:p w:rsidR="00887C51" w:rsidRDefault="00887C51" w:rsidP="00887C51">
      <w:pPr>
        <w:ind w:left="360" w:right="123"/>
        <w:jc w:val="both"/>
      </w:pPr>
    </w:p>
    <w:p w:rsidR="00887C51" w:rsidRPr="00887C51" w:rsidRDefault="00B95DE7" w:rsidP="00887C51">
      <w:pPr>
        <w:numPr>
          <w:ilvl w:val="0"/>
          <w:numId w:val="19"/>
        </w:numPr>
      </w:pPr>
      <w:r>
        <w:t>Minimum per p</w:t>
      </w:r>
      <w:r w:rsidR="00887C51" w:rsidRPr="00887C51">
        <w:t xml:space="preserve">upil funding levels </w:t>
      </w:r>
      <w:r w:rsidRPr="00887C51">
        <w:t>(MPP</w:t>
      </w:r>
      <w:r>
        <w:t xml:space="preserve">L) </w:t>
      </w:r>
      <w:r w:rsidR="00887C51" w:rsidRPr="00887C51">
        <w:t>of £4,265 for primary schools and £5,525 for secondary schools.</w:t>
      </w:r>
    </w:p>
    <w:p w:rsidR="00616751" w:rsidRDefault="00616751" w:rsidP="007D74C6">
      <w:pPr>
        <w:ind w:right="123"/>
        <w:jc w:val="both"/>
      </w:pPr>
    </w:p>
    <w:p w:rsidR="00616751" w:rsidRDefault="00616751" w:rsidP="0021112F">
      <w:pPr>
        <w:numPr>
          <w:ilvl w:val="0"/>
          <w:numId w:val="19"/>
        </w:numPr>
        <w:ind w:right="303"/>
        <w:jc w:val="both"/>
      </w:pPr>
      <w:r w:rsidRPr="00F2386A">
        <w:lastRenderedPageBreak/>
        <w:t>An increase to the maximum sparsity value for small and rural schools</w:t>
      </w:r>
      <w:r w:rsidR="0021112F">
        <w:t>.</w:t>
      </w:r>
      <w:r w:rsidR="0021112F" w:rsidRPr="0021112F">
        <w:t xml:space="preserve"> </w:t>
      </w:r>
      <w:r w:rsidR="0021112F">
        <w:t>R</w:t>
      </w:r>
      <w:r w:rsidR="0021112F" w:rsidRPr="0021112F">
        <w:t>oad distances</w:t>
      </w:r>
      <w:r w:rsidR="0021112F">
        <w:t xml:space="preserve"> have been used</w:t>
      </w:r>
      <w:r w:rsidR="0021112F" w:rsidRPr="0021112F">
        <w:t xml:space="preserve"> inst</w:t>
      </w:r>
      <w:r w:rsidR="0021112F">
        <w:t>ead of straight-line distances and</w:t>
      </w:r>
      <w:r w:rsidR="0021112F" w:rsidRPr="0021112F">
        <w:t xml:space="preserve"> a new distance ‘taper’</w:t>
      </w:r>
      <w:r w:rsidR="0021112F">
        <w:t xml:space="preserve"> has been introduced</w:t>
      </w:r>
    </w:p>
    <w:p w:rsidR="00F50B0C" w:rsidRDefault="00F50B0C" w:rsidP="003903BB">
      <w:pPr>
        <w:jc w:val="both"/>
      </w:pPr>
    </w:p>
    <w:p w:rsidR="003903BB" w:rsidRDefault="003903BB" w:rsidP="003903BB">
      <w:pPr>
        <w:jc w:val="both"/>
      </w:pPr>
      <w:r w:rsidRPr="001D0551">
        <w:t xml:space="preserve">The </w:t>
      </w:r>
      <w:hyperlink r:id="rId8" w:history="1">
        <w:r w:rsidRPr="001D0551">
          <w:rPr>
            <w:rStyle w:val="Hyperlink"/>
          </w:rPr>
          <w:t>“S</w:t>
        </w:r>
        <w:r w:rsidR="001D0551" w:rsidRPr="001D0551">
          <w:rPr>
            <w:rStyle w:val="Hyperlink"/>
          </w:rPr>
          <w:t>chools revenue funding 2022 to 2023</w:t>
        </w:r>
        <w:r w:rsidRPr="001D0551">
          <w:rPr>
            <w:rStyle w:val="Hyperlink"/>
          </w:rPr>
          <w:t xml:space="preserve"> operational guide” </w:t>
        </w:r>
      </w:hyperlink>
      <w:r>
        <w:t xml:space="preserve"> and the </w:t>
      </w:r>
      <w:hyperlink r:id="rId9" w:history="1">
        <w:r w:rsidR="00887C51">
          <w:rPr>
            <w:rStyle w:val="Hyperlink"/>
          </w:rPr>
          <w:t>“The national funding formulae for schools and high needs 2022 – 2023”</w:t>
        </w:r>
      </w:hyperlink>
      <w:r w:rsidRPr="00876CFC">
        <w:rPr>
          <w:rFonts w:ascii="Segoe UI" w:hAnsi="Segoe UI" w:cs="Segoe UI"/>
          <w:color w:val="4A4A4A"/>
          <w:shd w:val="clear" w:color="auto" w:fill="F2F2F2"/>
        </w:rPr>
        <w:t xml:space="preserve"> </w:t>
      </w:r>
      <w:r>
        <w:t>provide details as</w:t>
      </w:r>
      <w:r w:rsidR="00887C51">
        <w:t xml:space="preserve"> to the funding formula for 2022/23</w:t>
      </w:r>
      <w:r>
        <w:t xml:space="preserve"> and the formula factor values used in the NFF.</w:t>
      </w:r>
    </w:p>
    <w:p w:rsidR="00827E47" w:rsidRDefault="00827E47" w:rsidP="008A0DD7">
      <w:pPr>
        <w:jc w:val="both"/>
        <w:rPr>
          <w:rFonts w:cs="Arial"/>
        </w:rPr>
      </w:pPr>
    </w:p>
    <w:p w:rsidR="008E36E0" w:rsidRPr="008E36E0" w:rsidRDefault="00D7595E" w:rsidP="00D7595E">
      <w:pPr>
        <w:jc w:val="both"/>
        <w:rPr>
          <w:rFonts w:cs="Arial"/>
        </w:rPr>
      </w:pPr>
      <w:r w:rsidRPr="008E36E0">
        <w:rPr>
          <w:rFonts w:cs="Arial"/>
        </w:rPr>
        <w:t xml:space="preserve">The Schools’ Forum agreed </w:t>
      </w:r>
      <w:r w:rsidR="008E36E0" w:rsidRPr="008E36E0">
        <w:rPr>
          <w:rFonts w:cs="Arial"/>
        </w:rPr>
        <w:t xml:space="preserve">after consultation with all schools: </w:t>
      </w:r>
    </w:p>
    <w:p w:rsidR="008E36E0" w:rsidRPr="008E36E0" w:rsidRDefault="008E36E0" w:rsidP="00D7595E">
      <w:pPr>
        <w:jc w:val="both"/>
        <w:rPr>
          <w:rFonts w:cs="Arial"/>
        </w:rPr>
      </w:pPr>
    </w:p>
    <w:p w:rsidR="00D7595E" w:rsidRDefault="00D7595E" w:rsidP="008E36E0">
      <w:pPr>
        <w:numPr>
          <w:ilvl w:val="0"/>
          <w:numId w:val="36"/>
        </w:numPr>
        <w:jc w:val="both"/>
        <w:rPr>
          <w:rFonts w:cs="Arial"/>
        </w:rPr>
      </w:pPr>
      <w:r w:rsidRPr="008E36E0">
        <w:rPr>
          <w:rFonts w:cs="Arial"/>
        </w:rPr>
        <w:t>to follow the N</w:t>
      </w:r>
      <w:r w:rsidR="008E36E0" w:rsidRPr="008E36E0">
        <w:rPr>
          <w:rFonts w:cs="Arial"/>
        </w:rPr>
        <w:t>FF as closely as possible</w:t>
      </w:r>
    </w:p>
    <w:p w:rsidR="00887C51" w:rsidRPr="008E36E0" w:rsidRDefault="00887C51" w:rsidP="008E36E0">
      <w:pPr>
        <w:numPr>
          <w:ilvl w:val="0"/>
          <w:numId w:val="36"/>
        </w:numPr>
        <w:jc w:val="both"/>
        <w:rPr>
          <w:rFonts w:cs="Arial"/>
        </w:rPr>
      </w:pPr>
      <w:r>
        <w:rPr>
          <w:rFonts w:cs="Arial"/>
        </w:rPr>
        <w:t>t</w:t>
      </w:r>
      <w:r w:rsidRPr="00887C51">
        <w:rPr>
          <w:rFonts w:cs="Arial"/>
        </w:rPr>
        <w:t>o address any surplus or shortfall in funding by adjusting the AWPU values</w:t>
      </w:r>
    </w:p>
    <w:p w:rsidR="008E36E0" w:rsidRPr="008E36E0" w:rsidRDefault="008E36E0" w:rsidP="008E36E0">
      <w:pPr>
        <w:numPr>
          <w:ilvl w:val="0"/>
          <w:numId w:val="36"/>
        </w:numPr>
        <w:jc w:val="both"/>
        <w:rPr>
          <w:rFonts w:cs="Arial"/>
        </w:rPr>
      </w:pPr>
      <w:r w:rsidRPr="008E36E0">
        <w:rPr>
          <w:rFonts w:cs="Arial"/>
        </w:rPr>
        <w:t xml:space="preserve">to award a </w:t>
      </w:r>
      <w:r w:rsidR="00887C51" w:rsidRPr="00887C51">
        <w:rPr>
          <w:rFonts w:cs="Arial"/>
        </w:rPr>
        <w:t>reduced sparsity factor, set at 80% of the NFF values</w:t>
      </w:r>
    </w:p>
    <w:p w:rsidR="008E36E0" w:rsidRDefault="008E36E0" w:rsidP="008E36E0">
      <w:pPr>
        <w:numPr>
          <w:ilvl w:val="0"/>
          <w:numId w:val="36"/>
        </w:numPr>
        <w:jc w:val="both"/>
        <w:rPr>
          <w:rFonts w:cs="Arial"/>
        </w:rPr>
      </w:pPr>
      <w:r w:rsidRPr="008E36E0">
        <w:rPr>
          <w:rFonts w:cs="Arial"/>
        </w:rPr>
        <w:t>to apply a top slice of 0.</w:t>
      </w:r>
      <w:r w:rsidR="00887C51">
        <w:rPr>
          <w:rFonts w:cs="Arial"/>
        </w:rPr>
        <w:t>2</w:t>
      </w:r>
      <w:r w:rsidRPr="008E36E0">
        <w:rPr>
          <w:rFonts w:cs="Arial"/>
        </w:rPr>
        <w:t>5% of the schools’</w:t>
      </w:r>
      <w:r>
        <w:rPr>
          <w:rFonts w:cs="Arial"/>
        </w:rPr>
        <w:t xml:space="preserve"> funding to support High Needs</w:t>
      </w:r>
    </w:p>
    <w:p w:rsidR="008E36E0" w:rsidRDefault="008E36E0" w:rsidP="008E36E0">
      <w:pPr>
        <w:numPr>
          <w:ilvl w:val="0"/>
          <w:numId w:val="36"/>
        </w:numPr>
        <w:jc w:val="both"/>
        <w:rPr>
          <w:rFonts w:cs="Arial"/>
        </w:rPr>
      </w:pPr>
      <w:r>
        <w:rPr>
          <w:rFonts w:cs="Arial"/>
        </w:rPr>
        <w:t>to approve the criteria for awarding any additional funds</w:t>
      </w:r>
    </w:p>
    <w:p w:rsidR="005D5055" w:rsidRPr="008E36E0" w:rsidRDefault="008E36E0" w:rsidP="008A0DD7">
      <w:pPr>
        <w:numPr>
          <w:ilvl w:val="0"/>
          <w:numId w:val="36"/>
        </w:numPr>
        <w:jc w:val="both"/>
        <w:rPr>
          <w:rFonts w:cs="Arial"/>
        </w:rPr>
      </w:pPr>
      <w:r>
        <w:rPr>
          <w:rFonts w:cs="Arial"/>
        </w:rPr>
        <w:t>to approve the de-delegations.</w:t>
      </w:r>
    </w:p>
    <w:p w:rsidR="005D5055" w:rsidRDefault="005D5055" w:rsidP="008A0DD7">
      <w:pPr>
        <w:jc w:val="both"/>
        <w:rPr>
          <w:rFonts w:cs="Arial"/>
        </w:rPr>
      </w:pPr>
    </w:p>
    <w:p w:rsidR="003941BF" w:rsidRPr="00F61788" w:rsidRDefault="00DA5044" w:rsidP="00B860FA">
      <w:pPr>
        <w:pStyle w:val="Heading1"/>
        <w:rPr>
          <w:rFonts w:cs="Arial"/>
          <w:b w:val="0"/>
          <w:kern w:val="0"/>
        </w:rPr>
      </w:pPr>
      <w:r w:rsidRPr="00F44005">
        <w:rPr>
          <w:rFonts w:cs="Arial"/>
          <w:kern w:val="0"/>
        </w:rPr>
        <w:t xml:space="preserve">APT </w:t>
      </w:r>
      <w:r w:rsidR="003941BF" w:rsidRPr="00F44005">
        <w:rPr>
          <w:rFonts w:cs="Arial"/>
          <w:kern w:val="0"/>
        </w:rPr>
        <w:t>Formula Allocation Spreadsheet</w:t>
      </w:r>
      <w:r w:rsidR="003941BF" w:rsidRPr="00F61788">
        <w:rPr>
          <w:rFonts w:cs="Arial"/>
          <w:b w:val="0"/>
          <w:kern w:val="0"/>
        </w:rPr>
        <w:t xml:space="preserve"> </w:t>
      </w:r>
      <w:r w:rsidR="009F3C1A" w:rsidRPr="00F61788">
        <w:rPr>
          <w:rFonts w:cs="Arial"/>
          <w:b w:val="0"/>
          <w:kern w:val="0"/>
        </w:rPr>
        <w:t>(</w:t>
      </w:r>
      <w:r w:rsidR="003941BF" w:rsidRPr="00F61788">
        <w:rPr>
          <w:rFonts w:cs="Arial"/>
          <w:b w:val="0"/>
          <w:kern w:val="0"/>
        </w:rPr>
        <w:t>maintained schools only</w:t>
      </w:r>
      <w:r w:rsidR="009F3C1A" w:rsidRPr="00F61788">
        <w:rPr>
          <w:rFonts w:cs="Arial"/>
          <w:b w:val="0"/>
          <w:kern w:val="0"/>
        </w:rPr>
        <w:t>)</w:t>
      </w:r>
    </w:p>
    <w:p w:rsidR="00DA5044" w:rsidRPr="00F61788" w:rsidRDefault="00887C51" w:rsidP="008E36E0">
      <w:pPr>
        <w:jc w:val="both"/>
        <w:rPr>
          <w:rFonts w:cs="Arial"/>
        </w:rPr>
      </w:pPr>
      <w:r>
        <w:rPr>
          <w:rFonts w:cs="Arial"/>
        </w:rPr>
        <w:t>To calculate the 2022/23</w:t>
      </w:r>
      <w:r w:rsidR="00DA5044" w:rsidRPr="00F61788">
        <w:rPr>
          <w:rFonts w:cs="Arial"/>
        </w:rPr>
        <w:t xml:space="preserve"> school funding formula</w:t>
      </w:r>
      <w:r w:rsidR="00F61788" w:rsidRPr="00F61788">
        <w:rPr>
          <w:rFonts w:cs="Arial"/>
        </w:rPr>
        <w:t xml:space="preserve">, </w:t>
      </w:r>
      <w:r w:rsidR="00500964">
        <w:rPr>
          <w:rFonts w:cs="Arial"/>
        </w:rPr>
        <w:t>the Local A</w:t>
      </w:r>
      <w:r w:rsidR="00146A8D" w:rsidRPr="00F61788">
        <w:rPr>
          <w:rFonts w:cs="Arial"/>
        </w:rPr>
        <w:t>uthority</w:t>
      </w:r>
      <w:r w:rsidR="00500964">
        <w:rPr>
          <w:rFonts w:cs="Arial"/>
        </w:rPr>
        <w:t xml:space="preserve"> (LA)</w:t>
      </w:r>
      <w:r w:rsidR="00DA5044" w:rsidRPr="00F61788">
        <w:rPr>
          <w:rFonts w:cs="Arial"/>
        </w:rPr>
        <w:t xml:space="preserve"> used the </w:t>
      </w:r>
      <w:r w:rsidR="00146A8D" w:rsidRPr="00F61788">
        <w:rPr>
          <w:rFonts w:cs="Arial"/>
        </w:rPr>
        <w:t xml:space="preserve">Authority Proforma Tool (APT) provided by the </w:t>
      </w:r>
      <w:r w:rsidR="00DA5044" w:rsidRPr="00F61788">
        <w:rPr>
          <w:rFonts w:cs="Arial"/>
        </w:rPr>
        <w:t xml:space="preserve">DfE. The main purpose of the APT is: </w:t>
      </w:r>
    </w:p>
    <w:p w:rsidR="00146A8D" w:rsidRPr="00F61788" w:rsidRDefault="00146A8D" w:rsidP="008E36E0">
      <w:pPr>
        <w:jc w:val="both"/>
        <w:rPr>
          <w:rFonts w:cs="Arial"/>
        </w:rPr>
      </w:pPr>
    </w:p>
    <w:p w:rsidR="00DA5044" w:rsidRPr="00F61788" w:rsidRDefault="00DA5044" w:rsidP="008E36E0">
      <w:pPr>
        <w:numPr>
          <w:ilvl w:val="1"/>
          <w:numId w:val="11"/>
        </w:numPr>
        <w:ind w:right="393"/>
        <w:jc w:val="both"/>
        <w:rPr>
          <w:rFonts w:cs="Arial"/>
        </w:rPr>
      </w:pPr>
      <w:r w:rsidRPr="00F61788">
        <w:rPr>
          <w:rFonts w:cs="Arial"/>
        </w:rPr>
        <w:t>To allow the LA to model the funding formula</w:t>
      </w:r>
    </w:p>
    <w:p w:rsidR="00DA5044" w:rsidRPr="00F61788" w:rsidRDefault="00DA5044" w:rsidP="008E36E0">
      <w:pPr>
        <w:numPr>
          <w:ilvl w:val="1"/>
          <w:numId w:val="11"/>
        </w:numPr>
        <w:ind w:right="393"/>
        <w:jc w:val="both"/>
        <w:rPr>
          <w:rFonts w:cs="Arial"/>
        </w:rPr>
      </w:pPr>
      <w:r w:rsidRPr="00F61788">
        <w:rPr>
          <w:rFonts w:cs="Arial"/>
        </w:rPr>
        <w:t>To capture all the data required by ESFA</w:t>
      </w:r>
    </w:p>
    <w:p w:rsidR="00DA5044" w:rsidRPr="00F61788" w:rsidRDefault="00DA5044" w:rsidP="008E36E0">
      <w:pPr>
        <w:numPr>
          <w:ilvl w:val="1"/>
          <w:numId w:val="11"/>
        </w:numPr>
        <w:ind w:right="393"/>
        <w:jc w:val="both"/>
        <w:rPr>
          <w:rFonts w:cs="Arial"/>
        </w:rPr>
      </w:pPr>
      <w:r w:rsidRPr="00F61788">
        <w:rPr>
          <w:rFonts w:cs="Arial"/>
        </w:rPr>
        <w:t xml:space="preserve">To enable </w:t>
      </w:r>
      <w:r w:rsidR="00500964">
        <w:rPr>
          <w:rFonts w:cs="Arial"/>
        </w:rPr>
        <w:t xml:space="preserve">the </w:t>
      </w:r>
      <w:r w:rsidR="00500964" w:rsidRPr="00500964">
        <w:rPr>
          <w:rFonts w:cs="Arial"/>
        </w:rPr>
        <w:t>Education and Skills Funding Agency</w:t>
      </w:r>
      <w:r w:rsidR="00500964">
        <w:rPr>
          <w:rFonts w:cs="Arial"/>
        </w:rPr>
        <w:t xml:space="preserve"> (</w:t>
      </w:r>
      <w:r w:rsidRPr="00F61788">
        <w:rPr>
          <w:rFonts w:cs="Arial"/>
        </w:rPr>
        <w:t>ESFA</w:t>
      </w:r>
      <w:r w:rsidR="00500964">
        <w:rPr>
          <w:rFonts w:cs="Arial"/>
        </w:rPr>
        <w:t>)</w:t>
      </w:r>
      <w:r w:rsidRPr="00F61788">
        <w:rPr>
          <w:rFonts w:cs="Arial"/>
        </w:rPr>
        <w:t xml:space="preserve"> to check the formula has been applied in compliance with regulations.</w:t>
      </w:r>
    </w:p>
    <w:p w:rsidR="00DA5044" w:rsidRPr="00F61788" w:rsidRDefault="00DA5044" w:rsidP="008E36E0">
      <w:pPr>
        <w:ind w:right="393"/>
        <w:jc w:val="both"/>
        <w:rPr>
          <w:rFonts w:cs="Arial"/>
        </w:rPr>
      </w:pPr>
    </w:p>
    <w:p w:rsidR="00146A8D" w:rsidRPr="00F61788" w:rsidRDefault="00146A8D" w:rsidP="008E36E0">
      <w:pPr>
        <w:jc w:val="both"/>
        <w:rPr>
          <w:rFonts w:cs="Arial"/>
        </w:rPr>
      </w:pPr>
      <w:r w:rsidRPr="00F61788">
        <w:rPr>
          <w:rFonts w:cs="Arial"/>
        </w:rPr>
        <w:t xml:space="preserve">Maintained schools </w:t>
      </w:r>
      <w:r w:rsidR="00F61788">
        <w:rPr>
          <w:rFonts w:cs="Arial"/>
        </w:rPr>
        <w:t>are supplied with</w:t>
      </w:r>
      <w:r w:rsidRPr="00F61788">
        <w:rPr>
          <w:rFonts w:cs="Arial"/>
        </w:rPr>
        <w:t xml:space="preserve"> an excel workbook </w:t>
      </w:r>
      <w:r w:rsidR="00F61788">
        <w:rPr>
          <w:rFonts w:cs="Arial"/>
        </w:rPr>
        <w:t>that contains:</w:t>
      </w:r>
    </w:p>
    <w:p w:rsidR="00146A8D" w:rsidRPr="00F61788" w:rsidRDefault="00146A8D" w:rsidP="008E36E0">
      <w:pPr>
        <w:jc w:val="both"/>
        <w:rPr>
          <w:rFonts w:cs="Arial"/>
        </w:rPr>
      </w:pPr>
    </w:p>
    <w:p w:rsidR="00DA5044" w:rsidRPr="00F61788" w:rsidRDefault="00146A8D" w:rsidP="007D74C6">
      <w:pPr>
        <w:numPr>
          <w:ilvl w:val="0"/>
          <w:numId w:val="13"/>
        </w:numPr>
        <w:ind w:right="-57"/>
        <w:jc w:val="both"/>
        <w:rPr>
          <w:rFonts w:cs="Arial"/>
        </w:rPr>
      </w:pPr>
      <w:r w:rsidRPr="00F61788">
        <w:rPr>
          <w:rFonts w:cs="Arial"/>
        </w:rPr>
        <w:t>A</w:t>
      </w:r>
      <w:r w:rsidR="00DA5044" w:rsidRPr="00F61788">
        <w:rPr>
          <w:rFonts w:cs="Arial"/>
        </w:rPr>
        <w:t xml:space="preserve"> summary she</w:t>
      </w:r>
      <w:r w:rsidRPr="00F61788">
        <w:rPr>
          <w:rFonts w:cs="Arial"/>
        </w:rPr>
        <w:t>et ‘</w:t>
      </w:r>
      <w:r w:rsidR="00F61788">
        <w:rPr>
          <w:rFonts w:cs="Arial"/>
        </w:rPr>
        <w:t>S</w:t>
      </w:r>
      <w:r w:rsidRPr="00F61788">
        <w:rPr>
          <w:rFonts w:cs="Arial"/>
        </w:rPr>
        <w:t>chool funding A to Z</w:t>
      </w:r>
      <w:r w:rsidR="00F61788">
        <w:rPr>
          <w:rFonts w:cs="Arial"/>
        </w:rPr>
        <w:t>’ display</w:t>
      </w:r>
      <w:r w:rsidRPr="00F61788">
        <w:rPr>
          <w:rFonts w:cs="Arial"/>
        </w:rPr>
        <w:t>ing</w:t>
      </w:r>
      <w:r w:rsidR="00DA5044" w:rsidRPr="00F61788">
        <w:rPr>
          <w:rFonts w:cs="Arial"/>
        </w:rPr>
        <w:t xml:space="preserve"> summary funding data for all schools compared to the previous year. The sheet shows total funding, de-delegations and total funding after deductions. The sheet does not contain funding relating to early years, 6th form, pupil premium or resource unit pre 16 places.</w:t>
      </w:r>
    </w:p>
    <w:p w:rsidR="00DA5044" w:rsidRPr="00F61788" w:rsidRDefault="00DA5044" w:rsidP="007D74C6">
      <w:pPr>
        <w:ind w:right="-57"/>
        <w:jc w:val="both"/>
        <w:rPr>
          <w:rFonts w:cs="Arial"/>
        </w:rPr>
      </w:pPr>
    </w:p>
    <w:p w:rsidR="00DA5044" w:rsidRPr="00F61788" w:rsidRDefault="00DA5044" w:rsidP="007D74C6">
      <w:pPr>
        <w:numPr>
          <w:ilvl w:val="0"/>
          <w:numId w:val="13"/>
        </w:numPr>
        <w:ind w:right="-57"/>
        <w:jc w:val="both"/>
        <w:rPr>
          <w:rFonts w:cs="Arial"/>
        </w:rPr>
      </w:pPr>
      <w:r w:rsidRPr="00F61788">
        <w:rPr>
          <w:rFonts w:cs="Arial"/>
        </w:rPr>
        <w:t xml:space="preserve">The full APT contains 17 worksheets, but just </w:t>
      </w:r>
      <w:r w:rsidR="00146A8D" w:rsidRPr="00F61788">
        <w:rPr>
          <w:rFonts w:cs="Arial"/>
        </w:rPr>
        <w:t xml:space="preserve">two </w:t>
      </w:r>
      <w:r w:rsidRPr="00F61788">
        <w:rPr>
          <w:rFonts w:cs="Arial"/>
        </w:rPr>
        <w:t xml:space="preserve">of these </w:t>
      </w:r>
      <w:r w:rsidR="00F61788">
        <w:rPr>
          <w:rFonts w:cs="Arial"/>
        </w:rPr>
        <w:t>are</w:t>
      </w:r>
      <w:r w:rsidR="00146A8D" w:rsidRPr="00F61788">
        <w:rPr>
          <w:rFonts w:cs="Arial"/>
        </w:rPr>
        <w:t xml:space="preserve"> sent </w:t>
      </w:r>
      <w:r w:rsidRPr="00F61788">
        <w:rPr>
          <w:rFonts w:cs="Arial"/>
        </w:rPr>
        <w:t xml:space="preserve">to schools. </w:t>
      </w:r>
    </w:p>
    <w:p w:rsidR="00DA5044" w:rsidRPr="00F61788" w:rsidRDefault="00DA5044" w:rsidP="008E36E0">
      <w:pPr>
        <w:numPr>
          <w:ilvl w:val="0"/>
          <w:numId w:val="12"/>
        </w:numPr>
        <w:ind w:right="393"/>
        <w:jc w:val="both"/>
        <w:rPr>
          <w:rFonts w:cs="Arial"/>
        </w:rPr>
      </w:pPr>
      <w:r w:rsidRPr="00F61788">
        <w:rPr>
          <w:rFonts w:cs="Arial"/>
        </w:rPr>
        <w:t>New ISB: shows the individual school budgets (ISB) for all schools for each funding element contributing to the final budget.</w:t>
      </w:r>
    </w:p>
    <w:p w:rsidR="00DA5044" w:rsidRDefault="00DA5044" w:rsidP="008E36E0">
      <w:pPr>
        <w:numPr>
          <w:ilvl w:val="0"/>
          <w:numId w:val="12"/>
        </w:numPr>
        <w:ind w:right="393"/>
        <w:jc w:val="both"/>
        <w:rPr>
          <w:rFonts w:cs="Arial"/>
        </w:rPr>
      </w:pPr>
      <w:r w:rsidRPr="00F61788">
        <w:rPr>
          <w:rFonts w:cs="Arial"/>
        </w:rPr>
        <w:t xml:space="preserve">School level ISB: by selecting </w:t>
      </w:r>
      <w:r w:rsidR="00146A8D" w:rsidRPr="00F61788">
        <w:rPr>
          <w:rFonts w:cs="Arial"/>
        </w:rPr>
        <w:t>a</w:t>
      </w:r>
      <w:r w:rsidRPr="00F61788">
        <w:rPr>
          <w:rFonts w:cs="Arial"/>
        </w:rPr>
        <w:t xml:space="preserve"> school LAEstab in the drop down list, the table will be populated with the school funding details. Once this school is selected, the </w:t>
      </w:r>
      <w:r w:rsidR="000D08A0">
        <w:rPr>
          <w:rFonts w:cs="Arial"/>
        </w:rPr>
        <w:t>2023/24</w:t>
      </w:r>
      <w:r w:rsidR="009F3C1A" w:rsidRPr="00F61788">
        <w:rPr>
          <w:rFonts w:cs="Arial"/>
        </w:rPr>
        <w:t xml:space="preserve"> multi year planner and </w:t>
      </w:r>
      <w:r w:rsidRPr="00F61788">
        <w:rPr>
          <w:rFonts w:cs="Arial"/>
        </w:rPr>
        <w:t>de-delegation sheet</w:t>
      </w:r>
      <w:r w:rsidR="009F3C1A" w:rsidRPr="00F61788">
        <w:rPr>
          <w:rFonts w:cs="Arial"/>
        </w:rPr>
        <w:t>s</w:t>
      </w:r>
      <w:r w:rsidRPr="00F61788">
        <w:rPr>
          <w:rFonts w:cs="Arial"/>
        </w:rPr>
        <w:t xml:space="preserve"> will also be populated. </w:t>
      </w:r>
    </w:p>
    <w:p w:rsidR="00F666B9" w:rsidRPr="00F61788" w:rsidRDefault="00F666B9" w:rsidP="00F666B9">
      <w:pPr>
        <w:ind w:left="1086" w:right="393"/>
        <w:jc w:val="both"/>
        <w:rPr>
          <w:rFonts w:cs="Arial"/>
        </w:rPr>
      </w:pPr>
    </w:p>
    <w:p w:rsidR="00DA5044" w:rsidRPr="00F61788" w:rsidRDefault="00DA5044" w:rsidP="008A0DD7">
      <w:pPr>
        <w:jc w:val="both"/>
        <w:rPr>
          <w:rFonts w:cs="Arial"/>
        </w:rPr>
      </w:pPr>
    </w:p>
    <w:p w:rsidR="00DA5044" w:rsidRPr="00F61788" w:rsidRDefault="00DA5044" w:rsidP="009F3C1A">
      <w:pPr>
        <w:numPr>
          <w:ilvl w:val="0"/>
          <w:numId w:val="13"/>
        </w:numPr>
        <w:jc w:val="both"/>
        <w:rPr>
          <w:rFonts w:cs="Arial"/>
        </w:rPr>
      </w:pPr>
      <w:r w:rsidRPr="00F61788">
        <w:rPr>
          <w:rFonts w:cs="Arial"/>
        </w:rPr>
        <w:t>Multi-year planner</w:t>
      </w:r>
      <w:r w:rsidR="009F3C1A" w:rsidRPr="00F61788">
        <w:rPr>
          <w:rFonts w:cs="Arial"/>
        </w:rPr>
        <w:t xml:space="preserve"> </w:t>
      </w:r>
    </w:p>
    <w:p w:rsidR="009F3C1A" w:rsidRPr="00F61788" w:rsidRDefault="009F3C1A" w:rsidP="008A0DD7">
      <w:pPr>
        <w:jc w:val="both"/>
        <w:rPr>
          <w:rFonts w:cs="Arial"/>
        </w:rPr>
      </w:pPr>
    </w:p>
    <w:p w:rsidR="009F3C1A" w:rsidRPr="00F61788" w:rsidRDefault="009F3C1A" w:rsidP="009F3C1A">
      <w:pPr>
        <w:ind w:left="720"/>
        <w:jc w:val="both"/>
        <w:rPr>
          <w:rFonts w:cs="Arial"/>
        </w:rPr>
      </w:pPr>
      <w:r w:rsidRPr="00F61788">
        <w:rPr>
          <w:rFonts w:cs="Arial"/>
        </w:rPr>
        <w:t>This provid</w:t>
      </w:r>
      <w:r w:rsidR="000D08A0">
        <w:rPr>
          <w:rFonts w:cs="Arial"/>
        </w:rPr>
        <w:t xml:space="preserve">es </w:t>
      </w:r>
      <w:r w:rsidR="00F44005">
        <w:rPr>
          <w:rFonts w:cs="Arial"/>
        </w:rPr>
        <w:t>estimates of funding for 2023/24</w:t>
      </w:r>
      <w:r w:rsidR="00887C51">
        <w:rPr>
          <w:rFonts w:cs="Arial"/>
        </w:rPr>
        <w:t xml:space="preserve"> to </w:t>
      </w:r>
      <w:r w:rsidR="00F44005">
        <w:rPr>
          <w:rFonts w:cs="Arial"/>
        </w:rPr>
        <w:t>2026/27</w:t>
      </w:r>
      <w:bookmarkStart w:id="0" w:name="_GoBack"/>
      <w:bookmarkEnd w:id="0"/>
      <w:r w:rsidRPr="00B64170">
        <w:rPr>
          <w:rFonts w:cs="Arial"/>
        </w:rPr>
        <w:t>,</w:t>
      </w:r>
      <w:r w:rsidRPr="00F61788">
        <w:rPr>
          <w:rFonts w:cs="Arial"/>
        </w:rPr>
        <w:t xml:space="preserve"> and can be used </w:t>
      </w:r>
      <w:r w:rsidR="00146A8D" w:rsidRPr="00F61788">
        <w:rPr>
          <w:rFonts w:cs="Arial"/>
        </w:rPr>
        <w:t>to help schools with their</w:t>
      </w:r>
      <w:r w:rsidRPr="00F61788">
        <w:rPr>
          <w:rFonts w:cs="Arial"/>
        </w:rPr>
        <w:t xml:space="preserve"> budget build</w:t>
      </w:r>
      <w:r w:rsidR="00500964">
        <w:rPr>
          <w:rFonts w:cs="Arial"/>
        </w:rPr>
        <w:t>, either 3 or 5 year depending on need</w:t>
      </w:r>
      <w:r w:rsidRPr="00F61788">
        <w:rPr>
          <w:rFonts w:cs="Arial"/>
        </w:rPr>
        <w:t xml:space="preserve">. </w:t>
      </w:r>
      <w:r w:rsidR="00F27F64" w:rsidRPr="00F61788">
        <w:rPr>
          <w:rFonts w:cs="Arial"/>
        </w:rPr>
        <w:t xml:space="preserve">The planner will be auto populated when </w:t>
      </w:r>
      <w:r w:rsidR="00146A8D" w:rsidRPr="00F61788">
        <w:rPr>
          <w:rFonts w:cs="Arial"/>
        </w:rPr>
        <w:t>the</w:t>
      </w:r>
      <w:r w:rsidR="00F27F64" w:rsidRPr="00F61788">
        <w:rPr>
          <w:rFonts w:cs="Arial"/>
        </w:rPr>
        <w:t xml:space="preserve"> LAEstab number </w:t>
      </w:r>
      <w:r w:rsidR="00146A8D" w:rsidRPr="00F61788">
        <w:rPr>
          <w:rFonts w:cs="Arial"/>
        </w:rPr>
        <w:t xml:space="preserve">is entered </w:t>
      </w:r>
      <w:r w:rsidR="00F27F64" w:rsidRPr="00F61788">
        <w:rPr>
          <w:rFonts w:cs="Arial"/>
        </w:rPr>
        <w:t xml:space="preserve">on the school level ISB sheet. The pupil numbers for future years can be amended based upon local knowledge. </w:t>
      </w:r>
    </w:p>
    <w:p w:rsidR="009F3C1A" w:rsidRPr="00F61788" w:rsidRDefault="009F3C1A" w:rsidP="009F3C1A">
      <w:pPr>
        <w:ind w:left="720"/>
        <w:jc w:val="both"/>
        <w:rPr>
          <w:rFonts w:cs="Arial"/>
        </w:rPr>
      </w:pPr>
    </w:p>
    <w:p w:rsidR="009F3C1A" w:rsidRPr="00F61788" w:rsidRDefault="009F3C1A" w:rsidP="009F3C1A">
      <w:pPr>
        <w:ind w:left="720"/>
        <w:jc w:val="both"/>
        <w:rPr>
          <w:rFonts w:cs="Arial"/>
        </w:rPr>
      </w:pPr>
      <w:r w:rsidRPr="00F61788">
        <w:rPr>
          <w:rFonts w:cs="Arial"/>
        </w:rPr>
        <w:t xml:space="preserve">Future funding is an estimate based on limited information that has been released to date. </w:t>
      </w:r>
    </w:p>
    <w:p w:rsidR="009F3C1A" w:rsidRDefault="009F3C1A" w:rsidP="009F3C1A">
      <w:pPr>
        <w:ind w:left="720"/>
        <w:jc w:val="both"/>
        <w:rPr>
          <w:rFonts w:cs="Arial"/>
        </w:rPr>
      </w:pPr>
    </w:p>
    <w:p w:rsidR="007E664F" w:rsidRPr="00F61788" w:rsidRDefault="007E664F" w:rsidP="009F3C1A">
      <w:pPr>
        <w:ind w:left="720"/>
        <w:jc w:val="both"/>
        <w:rPr>
          <w:rFonts w:cs="Arial"/>
        </w:rPr>
      </w:pPr>
    </w:p>
    <w:p w:rsidR="003941BF" w:rsidRDefault="003941BF" w:rsidP="008A0DD7">
      <w:pPr>
        <w:jc w:val="both"/>
        <w:rPr>
          <w:rFonts w:cs="Arial"/>
        </w:rPr>
      </w:pPr>
      <w:r w:rsidRPr="00F61788">
        <w:rPr>
          <w:rFonts w:cs="Arial"/>
        </w:rPr>
        <w:t>Academies receive thei</w:t>
      </w:r>
      <w:r w:rsidR="00500964">
        <w:rPr>
          <w:rFonts w:cs="Arial"/>
        </w:rPr>
        <w:t>r allocations direct from the E</w:t>
      </w:r>
      <w:r w:rsidR="00D42C7A" w:rsidRPr="00F61788">
        <w:rPr>
          <w:rFonts w:cs="Arial"/>
        </w:rPr>
        <w:t>S</w:t>
      </w:r>
      <w:r w:rsidR="00500964">
        <w:rPr>
          <w:rFonts w:cs="Arial"/>
        </w:rPr>
        <w:t>FA</w:t>
      </w:r>
      <w:r w:rsidR="00C44CC9" w:rsidRPr="00F61788">
        <w:rPr>
          <w:rFonts w:cs="Arial"/>
        </w:rPr>
        <w:t xml:space="preserve"> and although the funding factors and amounts shown </w:t>
      </w:r>
      <w:r w:rsidR="00F61788">
        <w:rPr>
          <w:rFonts w:cs="Arial"/>
        </w:rPr>
        <w:t xml:space="preserve">on the APT are </w:t>
      </w:r>
      <w:r w:rsidR="00C44CC9" w:rsidRPr="00F61788">
        <w:rPr>
          <w:rFonts w:cs="Arial"/>
        </w:rPr>
        <w:t>replicated, the calculation of the minimum funding guarantee will be different</w:t>
      </w:r>
      <w:r w:rsidR="00D42C7A" w:rsidRPr="00F61788">
        <w:rPr>
          <w:rFonts w:cs="Arial"/>
        </w:rPr>
        <w:t xml:space="preserve"> if the </w:t>
      </w:r>
      <w:r w:rsidR="005807A0" w:rsidRPr="00F61788">
        <w:rPr>
          <w:rFonts w:cs="Arial"/>
        </w:rPr>
        <w:t xml:space="preserve">academy has been in existence prior to September 2017 and </w:t>
      </w:r>
      <w:r w:rsidR="00D42C7A" w:rsidRPr="00F61788">
        <w:rPr>
          <w:rFonts w:cs="Arial"/>
        </w:rPr>
        <w:t xml:space="preserve">previously received </w:t>
      </w:r>
      <w:r w:rsidR="00C44CC9" w:rsidRPr="00F61788">
        <w:rPr>
          <w:rFonts w:cs="Arial"/>
        </w:rPr>
        <w:t>the Education S</w:t>
      </w:r>
      <w:r w:rsidR="00CA4D15" w:rsidRPr="00F61788">
        <w:rPr>
          <w:rFonts w:cs="Arial"/>
        </w:rPr>
        <w:t>ervices</w:t>
      </w:r>
      <w:r w:rsidR="00C44CC9" w:rsidRPr="00F61788">
        <w:rPr>
          <w:rFonts w:cs="Arial"/>
        </w:rPr>
        <w:t xml:space="preserve"> Grant (ESG)</w:t>
      </w:r>
      <w:r w:rsidRPr="00F61788">
        <w:rPr>
          <w:rFonts w:cs="Arial"/>
        </w:rPr>
        <w:t xml:space="preserve">. </w:t>
      </w:r>
    </w:p>
    <w:p w:rsidR="00F61788" w:rsidRDefault="00F61788" w:rsidP="008A0DD7">
      <w:pPr>
        <w:jc w:val="both"/>
        <w:rPr>
          <w:rFonts w:cs="Arial"/>
        </w:rPr>
      </w:pPr>
    </w:p>
    <w:p w:rsidR="007D74C6" w:rsidRDefault="007D74C6" w:rsidP="003941BF">
      <w:pPr>
        <w:rPr>
          <w:rFonts w:cs="Arial"/>
        </w:rPr>
      </w:pPr>
    </w:p>
    <w:p w:rsidR="003941BF" w:rsidRPr="003641E0" w:rsidRDefault="003941BF" w:rsidP="00B860FA">
      <w:pPr>
        <w:pStyle w:val="Heading1"/>
      </w:pPr>
      <w:r w:rsidRPr="003641E0">
        <w:t>Formula Factors</w:t>
      </w:r>
      <w:r w:rsidR="00205AA7" w:rsidRPr="003641E0">
        <w:t xml:space="preserve"> Measures and Unit Values</w:t>
      </w:r>
    </w:p>
    <w:tbl>
      <w:tblPr>
        <w:tblStyle w:val="TableGrid"/>
        <w:tblW w:w="5000" w:type="pct"/>
        <w:tblLook w:val="04A0" w:firstRow="1" w:lastRow="0" w:firstColumn="1" w:lastColumn="0" w:noHBand="0" w:noVBand="1"/>
      </w:tblPr>
      <w:tblGrid>
        <w:gridCol w:w="1605"/>
        <w:gridCol w:w="2614"/>
        <w:gridCol w:w="2835"/>
        <w:gridCol w:w="1418"/>
        <w:gridCol w:w="1497"/>
      </w:tblGrid>
      <w:tr w:rsidR="00953D5F" w:rsidTr="00546492">
        <w:trPr>
          <w:tblHeader/>
        </w:trPr>
        <w:tc>
          <w:tcPr>
            <w:tcW w:w="805" w:type="pct"/>
            <w:shd w:val="clear" w:color="auto" w:fill="D0CECE" w:themeFill="background2" w:themeFillShade="E6"/>
          </w:tcPr>
          <w:p w:rsidR="00205AA7" w:rsidRPr="00F81194" w:rsidRDefault="00205AA7" w:rsidP="00BC6E24">
            <w:pPr>
              <w:pStyle w:val="TableHeader"/>
              <w:rPr>
                <w:sz w:val="22"/>
                <w:szCs w:val="22"/>
              </w:rPr>
            </w:pPr>
            <w:r w:rsidRPr="00F81194">
              <w:rPr>
                <w:sz w:val="22"/>
                <w:szCs w:val="22"/>
              </w:rPr>
              <w:t>Funding Factor</w:t>
            </w:r>
          </w:p>
        </w:tc>
        <w:tc>
          <w:tcPr>
            <w:tcW w:w="1311" w:type="pct"/>
            <w:shd w:val="clear" w:color="auto" w:fill="D0CECE" w:themeFill="background2" w:themeFillShade="E6"/>
          </w:tcPr>
          <w:p w:rsidR="00205AA7" w:rsidRPr="00F81194" w:rsidRDefault="00205AA7" w:rsidP="00BC6E24">
            <w:pPr>
              <w:pStyle w:val="TableHeader"/>
              <w:rPr>
                <w:sz w:val="22"/>
                <w:szCs w:val="22"/>
              </w:rPr>
            </w:pPr>
            <w:r w:rsidRPr="00F81194">
              <w:rPr>
                <w:sz w:val="22"/>
                <w:szCs w:val="22"/>
              </w:rPr>
              <w:t>Description</w:t>
            </w:r>
          </w:p>
        </w:tc>
        <w:tc>
          <w:tcPr>
            <w:tcW w:w="1422" w:type="pct"/>
            <w:shd w:val="clear" w:color="auto" w:fill="D0CECE" w:themeFill="background2" w:themeFillShade="E6"/>
          </w:tcPr>
          <w:p w:rsidR="00205AA7" w:rsidRPr="00F81194" w:rsidRDefault="00205AA7" w:rsidP="00BC6E24">
            <w:pPr>
              <w:pStyle w:val="TableHeader"/>
              <w:rPr>
                <w:sz w:val="22"/>
                <w:szCs w:val="22"/>
              </w:rPr>
            </w:pPr>
            <w:r w:rsidRPr="00F81194">
              <w:rPr>
                <w:sz w:val="22"/>
                <w:szCs w:val="22"/>
              </w:rPr>
              <w:t>Data Source</w:t>
            </w:r>
          </w:p>
        </w:tc>
        <w:tc>
          <w:tcPr>
            <w:tcW w:w="711" w:type="pct"/>
            <w:tcBorders>
              <w:bottom w:val="single" w:sz="4" w:space="0" w:color="auto"/>
            </w:tcBorders>
            <w:shd w:val="clear" w:color="auto" w:fill="D0CECE" w:themeFill="background2" w:themeFillShade="E6"/>
          </w:tcPr>
          <w:p w:rsidR="00205AA7" w:rsidRPr="00F81194" w:rsidRDefault="007F748E" w:rsidP="00BC6E24">
            <w:pPr>
              <w:pStyle w:val="TableHeader"/>
              <w:rPr>
                <w:sz w:val="22"/>
                <w:szCs w:val="22"/>
              </w:rPr>
            </w:pPr>
            <w:r w:rsidRPr="003143E1">
              <w:rPr>
                <w:sz w:val="22"/>
                <w:szCs w:val="22"/>
              </w:rPr>
              <w:t xml:space="preserve">WBC </w:t>
            </w:r>
            <w:r w:rsidR="00205AA7" w:rsidRPr="003143E1">
              <w:rPr>
                <w:sz w:val="22"/>
                <w:szCs w:val="22"/>
              </w:rPr>
              <w:t xml:space="preserve">Primary </w:t>
            </w:r>
            <w:r w:rsidRPr="003143E1">
              <w:rPr>
                <w:sz w:val="22"/>
                <w:szCs w:val="22"/>
              </w:rPr>
              <w:t>Rate</w:t>
            </w:r>
          </w:p>
        </w:tc>
        <w:tc>
          <w:tcPr>
            <w:tcW w:w="751" w:type="pct"/>
            <w:tcBorders>
              <w:bottom w:val="single" w:sz="4" w:space="0" w:color="auto"/>
            </w:tcBorders>
            <w:shd w:val="clear" w:color="auto" w:fill="D0CECE" w:themeFill="background2" w:themeFillShade="E6"/>
          </w:tcPr>
          <w:p w:rsidR="00205AA7" w:rsidRPr="00F81194" w:rsidRDefault="007F748E" w:rsidP="00BC6E24">
            <w:pPr>
              <w:pStyle w:val="TableHeader"/>
              <w:rPr>
                <w:sz w:val="22"/>
                <w:szCs w:val="22"/>
              </w:rPr>
            </w:pPr>
            <w:r w:rsidRPr="003143E1">
              <w:rPr>
                <w:sz w:val="22"/>
                <w:szCs w:val="22"/>
              </w:rPr>
              <w:t xml:space="preserve">WBC </w:t>
            </w:r>
            <w:r w:rsidR="00546492" w:rsidRPr="003143E1">
              <w:rPr>
                <w:sz w:val="22"/>
                <w:szCs w:val="22"/>
              </w:rPr>
              <w:t>Secondary</w:t>
            </w:r>
            <w:r w:rsidRPr="003143E1">
              <w:rPr>
                <w:sz w:val="22"/>
                <w:szCs w:val="22"/>
              </w:rPr>
              <w:t xml:space="preserve"> Rate</w:t>
            </w:r>
          </w:p>
        </w:tc>
      </w:tr>
      <w:tr w:rsidR="002965AD" w:rsidTr="00546492">
        <w:tc>
          <w:tcPr>
            <w:tcW w:w="805" w:type="pct"/>
            <w:vMerge w:val="restart"/>
          </w:tcPr>
          <w:p w:rsidR="002965AD" w:rsidRPr="00F81194" w:rsidRDefault="002965AD" w:rsidP="002965AD">
            <w:pPr>
              <w:rPr>
                <w:sz w:val="22"/>
                <w:szCs w:val="22"/>
              </w:rPr>
            </w:pPr>
            <w:r w:rsidRPr="00F81194">
              <w:rPr>
                <w:sz w:val="22"/>
                <w:szCs w:val="22"/>
              </w:rPr>
              <w:t>1. Basic entitlement</w:t>
            </w:r>
          </w:p>
          <w:p w:rsidR="002965AD" w:rsidRDefault="002965AD" w:rsidP="002965AD">
            <w:pPr>
              <w:rPr>
                <w:color w:val="7F7F7F" w:themeColor="text1" w:themeTint="80"/>
                <w:sz w:val="22"/>
                <w:szCs w:val="22"/>
              </w:rPr>
            </w:pPr>
          </w:p>
          <w:p w:rsidR="002965AD" w:rsidRPr="00F81194" w:rsidRDefault="002965AD" w:rsidP="002965AD">
            <w:pPr>
              <w:rPr>
                <w:color w:val="7F7F7F" w:themeColor="text1" w:themeTint="80"/>
                <w:sz w:val="22"/>
                <w:szCs w:val="22"/>
              </w:rPr>
            </w:pPr>
            <w:r w:rsidRPr="00F81194">
              <w:rPr>
                <w:color w:val="7F7F7F" w:themeColor="text1" w:themeTint="80"/>
                <w:sz w:val="22"/>
                <w:szCs w:val="22"/>
              </w:rPr>
              <w:t>A compulsory factor</w:t>
            </w:r>
          </w:p>
        </w:tc>
        <w:tc>
          <w:tcPr>
            <w:tcW w:w="1311" w:type="pct"/>
            <w:vMerge w:val="restart"/>
          </w:tcPr>
          <w:p w:rsidR="002965AD" w:rsidRPr="00F81194" w:rsidRDefault="002965AD" w:rsidP="002965AD">
            <w:pPr>
              <w:pStyle w:val="Default"/>
              <w:rPr>
                <w:sz w:val="22"/>
                <w:szCs w:val="22"/>
              </w:rPr>
            </w:pPr>
            <w:r w:rsidRPr="00F81194">
              <w:rPr>
                <w:sz w:val="22"/>
                <w:szCs w:val="22"/>
              </w:rPr>
              <w:t xml:space="preserve">Single unit for primary aged pupils and a single unit for each of Key Stage 3 and Key Stage 4 </w:t>
            </w:r>
          </w:p>
          <w:p w:rsidR="002965AD" w:rsidRPr="00F81194" w:rsidRDefault="002965AD" w:rsidP="002965AD">
            <w:pPr>
              <w:rPr>
                <w:sz w:val="22"/>
                <w:szCs w:val="22"/>
              </w:rPr>
            </w:pPr>
          </w:p>
        </w:tc>
        <w:tc>
          <w:tcPr>
            <w:tcW w:w="1422" w:type="pct"/>
            <w:vMerge w:val="restart"/>
            <w:tcBorders>
              <w:right w:val="single" w:sz="4" w:space="0" w:color="auto"/>
            </w:tcBorders>
          </w:tcPr>
          <w:p w:rsidR="002965AD" w:rsidRPr="00F81194" w:rsidRDefault="00B95DE7" w:rsidP="002965AD">
            <w:pPr>
              <w:rPr>
                <w:sz w:val="22"/>
                <w:szCs w:val="22"/>
              </w:rPr>
            </w:pPr>
            <w:r>
              <w:rPr>
                <w:sz w:val="22"/>
                <w:szCs w:val="22"/>
              </w:rPr>
              <w:t>October 2021</w:t>
            </w:r>
            <w:r w:rsidR="002965AD" w:rsidRPr="00F81194">
              <w:rPr>
                <w:sz w:val="22"/>
                <w:szCs w:val="22"/>
              </w:rPr>
              <w:t xml:space="preserve"> census</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35370A" w:rsidP="002965AD">
            <w:pPr>
              <w:jc w:val="center"/>
              <w:rPr>
                <w:rFonts w:ascii="Calibri" w:hAnsi="Calibri" w:cs="Calibri"/>
                <w:sz w:val="22"/>
                <w:szCs w:val="22"/>
              </w:rPr>
            </w:pPr>
            <w:r>
              <w:rPr>
                <w:rFonts w:ascii="Calibri" w:hAnsi="Calibri" w:cs="Calibri"/>
                <w:sz w:val="22"/>
                <w:szCs w:val="22"/>
              </w:rPr>
              <w:t>3343.40</w:t>
            </w:r>
          </w:p>
        </w:tc>
        <w:tc>
          <w:tcPr>
            <w:tcW w:w="751" w:type="pct"/>
            <w:tcBorders>
              <w:top w:val="single" w:sz="4" w:space="0" w:color="auto"/>
              <w:left w:val="single" w:sz="4" w:space="0" w:color="auto"/>
            </w:tcBorders>
            <w:shd w:val="clear" w:color="auto" w:fill="CCCCFF"/>
          </w:tcPr>
          <w:p w:rsidR="00546492" w:rsidRPr="00546492" w:rsidRDefault="00546492" w:rsidP="00546492">
            <w:pPr>
              <w:rPr>
                <w:rFonts w:ascii="Calibri" w:hAnsi="Calibri" w:cs="Calibri"/>
                <w:sz w:val="22"/>
                <w:szCs w:val="22"/>
              </w:rPr>
            </w:pPr>
          </w:p>
          <w:p w:rsidR="002965AD" w:rsidRPr="00546492" w:rsidRDefault="0035370A" w:rsidP="00546492">
            <w:pPr>
              <w:jc w:val="center"/>
              <w:rPr>
                <w:rFonts w:ascii="Calibri" w:hAnsi="Calibri" w:cs="Calibri"/>
                <w:sz w:val="22"/>
                <w:szCs w:val="22"/>
              </w:rPr>
            </w:pPr>
            <w:r w:rsidRPr="0035370A">
              <w:rPr>
                <w:rFonts w:ascii="Calibri" w:hAnsi="Calibri" w:cs="Calibri"/>
                <w:sz w:val="22"/>
                <w:szCs w:val="22"/>
              </w:rPr>
              <w:t>£4,714.22</w:t>
            </w:r>
          </w:p>
          <w:p w:rsidR="002965AD" w:rsidRPr="00546492" w:rsidRDefault="002965AD" w:rsidP="002965AD">
            <w:pPr>
              <w:rPr>
                <w:rFonts w:ascii="Calibri" w:hAnsi="Calibri" w:cs="Calibri"/>
                <w:sz w:val="22"/>
                <w:szCs w:val="22"/>
              </w:rPr>
            </w:pPr>
            <w:r w:rsidRPr="00546492">
              <w:rPr>
                <w:rFonts w:ascii="Calibri" w:hAnsi="Calibri" w:cs="Calibri"/>
                <w:sz w:val="22"/>
                <w:szCs w:val="22"/>
              </w:rPr>
              <w:tab/>
            </w:r>
          </w:p>
        </w:tc>
      </w:tr>
      <w:tr w:rsidR="002965AD" w:rsidTr="00546492">
        <w:tc>
          <w:tcPr>
            <w:tcW w:w="805" w:type="pct"/>
            <w:vMerge/>
          </w:tcPr>
          <w:p w:rsidR="002965AD" w:rsidRPr="00F81194" w:rsidRDefault="002965AD" w:rsidP="002965AD">
            <w:pPr>
              <w:rPr>
                <w:sz w:val="22"/>
                <w:szCs w:val="22"/>
              </w:rPr>
            </w:pPr>
          </w:p>
        </w:tc>
        <w:tc>
          <w:tcPr>
            <w:tcW w:w="1311" w:type="pct"/>
            <w:vMerge/>
          </w:tcPr>
          <w:p w:rsidR="002965AD" w:rsidRPr="00F81194" w:rsidRDefault="002965AD" w:rsidP="002965AD">
            <w:pPr>
              <w:rPr>
                <w:sz w:val="22"/>
                <w:szCs w:val="22"/>
              </w:rPr>
            </w:pPr>
          </w:p>
        </w:tc>
        <w:tc>
          <w:tcPr>
            <w:tcW w:w="1422" w:type="pct"/>
            <w:vMerge/>
          </w:tcPr>
          <w:p w:rsidR="002965AD" w:rsidRPr="00F81194" w:rsidRDefault="002965AD" w:rsidP="002965AD">
            <w:pPr>
              <w:rPr>
                <w:sz w:val="22"/>
                <w:szCs w:val="22"/>
              </w:rPr>
            </w:pPr>
          </w:p>
        </w:tc>
        <w:tc>
          <w:tcPr>
            <w:tcW w:w="711" w:type="pct"/>
            <w:vMerge/>
            <w:shd w:val="clear" w:color="auto" w:fill="CCCCFF"/>
          </w:tcPr>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Pr="00546492" w:rsidRDefault="00546492" w:rsidP="00546492">
            <w:pPr>
              <w:jc w:val="center"/>
              <w:rPr>
                <w:rFonts w:ascii="Calibri" w:hAnsi="Calibri" w:cs="Calibri"/>
                <w:sz w:val="22"/>
                <w:szCs w:val="22"/>
              </w:rPr>
            </w:pPr>
          </w:p>
          <w:p w:rsidR="002965AD" w:rsidRPr="00546492" w:rsidRDefault="002965AD" w:rsidP="00546492">
            <w:pPr>
              <w:jc w:val="center"/>
              <w:rPr>
                <w:rFonts w:ascii="Calibri" w:hAnsi="Calibri" w:cs="Calibri"/>
                <w:sz w:val="22"/>
                <w:szCs w:val="22"/>
              </w:rPr>
            </w:pPr>
            <w:r w:rsidRPr="0035370A">
              <w:rPr>
                <w:rFonts w:ascii="Calibri" w:hAnsi="Calibri" w:cs="Calibri"/>
                <w:sz w:val="22"/>
                <w:szCs w:val="22"/>
              </w:rPr>
              <w:t>£5</w:t>
            </w:r>
            <w:r w:rsidR="007F748E" w:rsidRPr="0035370A">
              <w:rPr>
                <w:rFonts w:ascii="Calibri" w:hAnsi="Calibri" w:cs="Calibri"/>
                <w:sz w:val="22"/>
                <w:szCs w:val="22"/>
              </w:rPr>
              <w:t>,</w:t>
            </w:r>
            <w:r w:rsidR="0035370A" w:rsidRPr="0035370A">
              <w:rPr>
                <w:rFonts w:ascii="Calibri" w:hAnsi="Calibri" w:cs="Calibri"/>
                <w:sz w:val="22"/>
                <w:szCs w:val="22"/>
              </w:rPr>
              <w:t>312.86</w:t>
            </w:r>
          </w:p>
        </w:tc>
      </w:tr>
      <w:tr w:rsidR="002965AD" w:rsidTr="00546492">
        <w:trPr>
          <w:trHeight w:val="567"/>
        </w:trPr>
        <w:tc>
          <w:tcPr>
            <w:tcW w:w="805" w:type="pct"/>
            <w:vMerge w:val="restart"/>
          </w:tcPr>
          <w:p w:rsidR="002965AD" w:rsidRPr="00F81194" w:rsidRDefault="002965AD" w:rsidP="002965AD">
            <w:pPr>
              <w:rPr>
                <w:sz w:val="22"/>
                <w:szCs w:val="22"/>
              </w:rPr>
            </w:pPr>
            <w:r w:rsidRPr="00F81194">
              <w:rPr>
                <w:sz w:val="22"/>
                <w:szCs w:val="22"/>
              </w:rPr>
              <w:t xml:space="preserve">2. Deprivation </w:t>
            </w:r>
          </w:p>
          <w:p w:rsidR="002965AD" w:rsidRDefault="002965AD" w:rsidP="002965AD">
            <w:pPr>
              <w:rPr>
                <w:color w:val="7F7F7F" w:themeColor="text1" w:themeTint="80"/>
                <w:sz w:val="22"/>
                <w:szCs w:val="22"/>
              </w:rPr>
            </w:pPr>
          </w:p>
          <w:p w:rsidR="002965AD" w:rsidRDefault="002965AD" w:rsidP="002965AD">
            <w:pPr>
              <w:rPr>
                <w:color w:val="7F7F7F" w:themeColor="text1" w:themeTint="80"/>
                <w:sz w:val="22"/>
                <w:szCs w:val="22"/>
              </w:rPr>
            </w:pPr>
            <w:r w:rsidRPr="00F81194">
              <w:rPr>
                <w:color w:val="7F7F7F" w:themeColor="text1" w:themeTint="80"/>
                <w:sz w:val="22"/>
                <w:szCs w:val="22"/>
              </w:rPr>
              <w:t>A compulsory factor</w:t>
            </w:r>
            <w:r>
              <w:rPr>
                <w:color w:val="7F7F7F" w:themeColor="text1" w:themeTint="80"/>
                <w:sz w:val="22"/>
                <w:szCs w:val="22"/>
              </w:rPr>
              <w:t>.</w:t>
            </w:r>
          </w:p>
          <w:p w:rsidR="002965AD" w:rsidRDefault="002965AD" w:rsidP="002965AD">
            <w:pPr>
              <w:rPr>
                <w:color w:val="7F7F7F" w:themeColor="text1" w:themeTint="80"/>
                <w:sz w:val="22"/>
                <w:szCs w:val="22"/>
              </w:rPr>
            </w:pPr>
          </w:p>
          <w:p w:rsidR="002965AD" w:rsidRPr="00F81194" w:rsidRDefault="002965AD" w:rsidP="007622A5">
            <w:pPr>
              <w:rPr>
                <w:sz w:val="22"/>
                <w:szCs w:val="22"/>
              </w:rPr>
            </w:pPr>
            <w:r>
              <w:rPr>
                <w:color w:val="7F7F7F" w:themeColor="text1" w:themeTint="80"/>
                <w:sz w:val="22"/>
                <w:szCs w:val="22"/>
              </w:rPr>
              <w:t>LA’s can use o</w:t>
            </w:r>
            <w:r w:rsidR="007622A5">
              <w:rPr>
                <w:color w:val="7F7F7F" w:themeColor="text1" w:themeTint="80"/>
                <w:sz w:val="22"/>
                <w:szCs w:val="22"/>
              </w:rPr>
              <w:t xml:space="preserve">ne or all three of the FSM, FSM6 </w:t>
            </w:r>
            <w:r>
              <w:rPr>
                <w:color w:val="7F7F7F" w:themeColor="text1" w:themeTint="80"/>
                <w:sz w:val="22"/>
                <w:szCs w:val="22"/>
              </w:rPr>
              <w:t xml:space="preserve"> and income deprivation to calculate the deprivation factor. WBC use all three.</w:t>
            </w:r>
          </w:p>
        </w:tc>
        <w:tc>
          <w:tcPr>
            <w:tcW w:w="1311" w:type="pct"/>
          </w:tcPr>
          <w:p w:rsidR="002965AD" w:rsidRPr="00F81194" w:rsidRDefault="002965AD" w:rsidP="002965AD">
            <w:pPr>
              <w:rPr>
                <w:sz w:val="22"/>
                <w:szCs w:val="22"/>
              </w:rPr>
            </w:pPr>
            <w:r w:rsidRPr="00F81194">
              <w:rPr>
                <w:sz w:val="22"/>
                <w:szCs w:val="22"/>
              </w:rPr>
              <w:t>Free School Meals (FSM)</w:t>
            </w:r>
          </w:p>
        </w:tc>
        <w:tc>
          <w:tcPr>
            <w:tcW w:w="1422" w:type="pct"/>
          </w:tcPr>
          <w:p w:rsidR="002965AD" w:rsidRPr="00F81194" w:rsidRDefault="00B95DE7" w:rsidP="002965AD">
            <w:pPr>
              <w:rPr>
                <w:sz w:val="22"/>
                <w:szCs w:val="22"/>
              </w:rPr>
            </w:pPr>
            <w:r>
              <w:rPr>
                <w:sz w:val="22"/>
                <w:szCs w:val="22"/>
              </w:rPr>
              <w:t>October 2021</w:t>
            </w:r>
            <w:r w:rsidR="002965AD" w:rsidRPr="00F81194">
              <w:rPr>
                <w:sz w:val="22"/>
                <w:szCs w:val="22"/>
              </w:rPr>
              <w:t xml:space="preserve"> census</w:t>
            </w:r>
          </w:p>
        </w:tc>
        <w:tc>
          <w:tcPr>
            <w:tcW w:w="711" w:type="pct"/>
            <w:shd w:val="clear" w:color="auto" w:fill="CCCCFF"/>
          </w:tcPr>
          <w:p w:rsidR="00546492" w:rsidRDefault="00546492" w:rsidP="00546492">
            <w:pPr>
              <w:jc w:val="center"/>
              <w:rPr>
                <w:rFonts w:ascii="Calibri" w:hAnsi="Calibri" w:cs="Calibri"/>
                <w:sz w:val="22"/>
                <w:szCs w:val="22"/>
              </w:rPr>
            </w:pPr>
          </w:p>
          <w:p w:rsidR="00C30C99" w:rsidRPr="00C30C99" w:rsidRDefault="00C30C99" w:rsidP="00C30C99">
            <w:pPr>
              <w:jc w:val="center"/>
              <w:rPr>
                <w:rFonts w:ascii="Calibri" w:hAnsi="Calibri" w:cs="Calibri"/>
                <w:sz w:val="22"/>
                <w:szCs w:val="22"/>
              </w:rPr>
            </w:pPr>
            <w:r w:rsidRPr="00C30C99">
              <w:rPr>
                <w:rFonts w:ascii="Calibri" w:hAnsi="Calibri" w:cs="Calibri"/>
                <w:sz w:val="22"/>
                <w:szCs w:val="22"/>
              </w:rPr>
              <w:t>£486.33</w:t>
            </w:r>
          </w:p>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Default="00546492" w:rsidP="00546492">
            <w:pPr>
              <w:jc w:val="center"/>
              <w:rPr>
                <w:rFonts w:ascii="Calibri" w:hAnsi="Calibri" w:cs="Calibri"/>
                <w:sz w:val="22"/>
                <w:szCs w:val="22"/>
              </w:rPr>
            </w:pPr>
          </w:p>
          <w:p w:rsidR="00B7197A" w:rsidRPr="00B7197A" w:rsidRDefault="00B7197A" w:rsidP="00B7197A">
            <w:pPr>
              <w:jc w:val="center"/>
              <w:rPr>
                <w:rFonts w:ascii="Calibri" w:hAnsi="Calibri" w:cs="Calibri"/>
                <w:sz w:val="22"/>
                <w:szCs w:val="22"/>
              </w:rPr>
            </w:pPr>
            <w:r w:rsidRPr="00B7197A">
              <w:rPr>
                <w:rFonts w:ascii="Calibri" w:hAnsi="Calibri" w:cs="Calibri"/>
                <w:sz w:val="22"/>
                <w:szCs w:val="22"/>
              </w:rPr>
              <w:t>£486.33</w:t>
            </w:r>
          </w:p>
          <w:p w:rsidR="002965AD" w:rsidRPr="00546492" w:rsidRDefault="002965AD" w:rsidP="00546492">
            <w:pPr>
              <w:jc w:val="center"/>
              <w:rPr>
                <w:rFonts w:ascii="Calibri" w:hAnsi="Calibri" w:cs="Calibri"/>
                <w:sz w:val="22"/>
                <w:szCs w:val="22"/>
              </w:rPr>
            </w:pPr>
          </w:p>
        </w:tc>
      </w:tr>
      <w:tr w:rsidR="002965AD" w:rsidTr="00546492">
        <w:tc>
          <w:tcPr>
            <w:tcW w:w="805" w:type="pct"/>
            <w:vMerge/>
          </w:tcPr>
          <w:p w:rsidR="002965AD" w:rsidRPr="00F81194" w:rsidRDefault="002965AD" w:rsidP="002965AD">
            <w:pPr>
              <w:rPr>
                <w:sz w:val="22"/>
                <w:szCs w:val="22"/>
              </w:rPr>
            </w:pPr>
          </w:p>
        </w:tc>
        <w:tc>
          <w:tcPr>
            <w:tcW w:w="1311" w:type="pct"/>
          </w:tcPr>
          <w:p w:rsidR="002965AD" w:rsidRPr="00F81194" w:rsidRDefault="002965AD" w:rsidP="002965AD">
            <w:pPr>
              <w:pStyle w:val="Default"/>
              <w:rPr>
                <w:sz w:val="22"/>
                <w:szCs w:val="22"/>
              </w:rPr>
            </w:pPr>
            <w:r w:rsidRPr="00F81194">
              <w:rPr>
                <w:sz w:val="22"/>
                <w:szCs w:val="22"/>
              </w:rPr>
              <w:t xml:space="preserve">Free School Meals Ever 6 </w:t>
            </w:r>
          </w:p>
          <w:p w:rsidR="002965AD" w:rsidRPr="00F81194" w:rsidRDefault="002965AD" w:rsidP="002965AD">
            <w:pPr>
              <w:pStyle w:val="Default"/>
              <w:rPr>
                <w:sz w:val="22"/>
                <w:szCs w:val="22"/>
              </w:rPr>
            </w:pPr>
          </w:p>
          <w:p w:rsidR="002965AD" w:rsidRPr="00F81194" w:rsidRDefault="002965AD" w:rsidP="002965AD">
            <w:pPr>
              <w:pStyle w:val="Default"/>
              <w:rPr>
                <w:sz w:val="22"/>
                <w:szCs w:val="22"/>
              </w:rPr>
            </w:pPr>
            <w:r w:rsidRPr="00F81194">
              <w:rPr>
                <w:sz w:val="22"/>
                <w:szCs w:val="22"/>
              </w:rPr>
              <w:t>(pupils recorded as eligible for free school meals at any time in the last 6 years)</w:t>
            </w:r>
          </w:p>
          <w:p w:rsidR="002965AD" w:rsidRPr="00F81194" w:rsidRDefault="002965AD" w:rsidP="002965AD">
            <w:pPr>
              <w:rPr>
                <w:sz w:val="22"/>
                <w:szCs w:val="22"/>
              </w:rPr>
            </w:pPr>
          </w:p>
        </w:tc>
        <w:tc>
          <w:tcPr>
            <w:tcW w:w="1422" w:type="pct"/>
          </w:tcPr>
          <w:p w:rsidR="002965AD" w:rsidRPr="00F81194" w:rsidRDefault="0081249F" w:rsidP="007622A5">
            <w:pPr>
              <w:pStyle w:val="Default"/>
              <w:rPr>
                <w:sz w:val="22"/>
                <w:szCs w:val="22"/>
              </w:rPr>
            </w:pPr>
            <w:r>
              <w:rPr>
                <w:sz w:val="22"/>
                <w:szCs w:val="22"/>
              </w:rPr>
              <w:t>October 2021</w:t>
            </w:r>
            <w:r w:rsidR="007622A5">
              <w:rPr>
                <w:sz w:val="22"/>
                <w:szCs w:val="22"/>
              </w:rPr>
              <w:t xml:space="preserve"> census</w:t>
            </w:r>
          </w:p>
        </w:tc>
        <w:tc>
          <w:tcPr>
            <w:tcW w:w="71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B7197A" w:rsidRPr="00B7197A" w:rsidRDefault="00B7197A" w:rsidP="00B7197A">
            <w:pPr>
              <w:jc w:val="center"/>
              <w:rPr>
                <w:rFonts w:ascii="Calibri" w:hAnsi="Calibri" w:cs="Calibri"/>
                <w:sz w:val="22"/>
                <w:szCs w:val="22"/>
              </w:rPr>
            </w:pPr>
            <w:r w:rsidRPr="00B7197A">
              <w:rPr>
                <w:rFonts w:ascii="Calibri" w:hAnsi="Calibri" w:cs="Calibri"/>
                <w:sz w:val="22"/>
                <w:szCs w:val="22"/>
              </w:rPr>
              <w:t>£610.50</w:t>
            </w:r>
          </w:p>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B7197A" w:rsidRPr="00B7197A" w:rsidRDefault="00B7197A" w:rsidP="00B7197A">
            <w:pPr>
              <w:jc w:val="center"/>
              <w:rPr>
                <w:rFonts w:ascii="Calibri" w:hAnsi="Calibri" w:cs="Calibri"/>
                <w:sz w:val="22"/>
                <w:szCs w:val="22"/>
              </w:rPr>
            </w:pPr>
            <w:r w:rsidRPr="00B7197A">
              <w:rPr>
                <w:rFonts w:ascii="Calibri" w:hAnsi="Calibri" w:cs="Calibri"/>
                <w:sz w:val="22"/>
                <w:szCs w:val="22"/>
              </w:rPr>
              <w:t>£895.06</w:t>
            </w:r>
          </w:p>
          <w:p w:rsidR="002965AD" w:rsidRPr="00546492" w:rsidRDefault="002965AD" w:rsidP="00546492">
            <w:pPr>
              <w:jc w:val="center"/>
              <w:rPr>
                <w:rFonts w:ascii="Calibri" w:hAnsi="Calibri" w:cs="Calibri"/>
                <w:sz w:val="22"/>
                <w:szCs w:val="22"/>
              </w:rPr>
            </w:pP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F</w:t>
            </w:r>
          </w:p>
          <w:p w:rsidR="002965AD" w:rsidRPr="00F81194" w:rsidRDefault="002965AD" w:rsidP="002965AD">
            <w:pPr>
              <w:rPr>
                <w:sz w:val="22"/>
                <w:szCs w:val="22"/>
              </w:rPr>
            </w:pPr>
          </w:p>
        </w:tc>
        <w:tc>
          <w:tcPr>
            <w:tcW w:w="1422" w:type="pct"/>
            <w:vMerge w:val="restart"/>
            <w:tcBorders>
              <w:right w:val="single" w:sz="4" w:space="0" w:color="auto"/>
            </w:tcBorders>
          </w:tcPr>
          <w:p w:rsidR="002965AD" w:rsidRPr="00F81194" w:rsidRDefault="007622A5" w:rsidP="002965AD">
            <w:pPr>
              <w:pStyle w:val="Default"/>
              <w:rPr>
                <w:sz w:val="22"/>
                <w:szCs w:val="22"/>
              </w:rPr>
            </w:pPr>
            <w:r>
              <w:rPr>
                <w:sz w:val="22"/>
                <w:szCs w:val="22"/>
              </w:rPr>
              <w:t>The 2022 to 2023</w:t>
            </w:r>
            <w:r w:rsidR="002965AD" w:rsidRPr="00F81194">
              <w:rPr>
                <w:sz w:val="22"/>
                <w:szCs w:val="22"/>
              </w:rPr>
              <w:t xml:space="preserve"> NFF uses Income Deprivation Affecting Children Index (IDACI) 2019 ranks to group each lower super output area (LSOAs). These ranks define the bands used.</w:t>
            </w:r>
          </w:p>
          <w:p w:rsidR="002965AD" w:rsidRPr="00F81194" w:rsidRDefault="002965AD" w:rsidP="002965AD">
            <w:pPr>
              <w:pStyle w:val="Default"/>
              <w:rPr>
                <w:sz w:val="22"/>
                <w:szCs w:val="22"/>
              </w:rPr>
            </w:pPr>
            <w:r w:rsidRPr="00F81194">
              <w:rPr>
                <w:sz w:val="22"/>
                <w:szCs w:val="22"/>
              </w:rPr>
              <w:t>This dat</w:t>
            </w:r>
            <w:r w:rsidR="00950AE5">
              <w:rPr>
                <w:sz w:val="22"/>
                <w:szCs w:val="22"/>
              </w:rPr>
              <w:t>a is matched to the October 2021</w:t>
            </w:r>
            <w:r w:rsidRPr="00F81194">
              <w:rPr>
                <w:sz w:val="22"/>
                <w:szCs w:val="22"/>
              </w:rPr>
              <w:t xml:space="preserve"> census using pupil’s postcodes.</w:t>
            </w: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B7197A">
            <w:pPr>
              <w:jc w:val="center"/>
              <w:rPr>
                <w:rFonts w:ascii="Calibri" w:hAnsi="Calibri" w:cs="Calibri"/>
                <w:sz w:val="22"/>
                <w:szCs w:val="22"/>
              </w:rPr>
            </w:pPr>
            <w:r>
              <w:rPr>
                <w:rFonts w:ascii="Calibri" w:hAnsi="Calibri" w:cs="Calibri"/>
                <w:sz w:val="22"/>
                <w:szCs w:val="22"/>
              </w:rPr>
              <w:t>£227.65</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2965AD" w:rsidP="00B7197A">
            <w:pPr>
              <w:jc w:val="center"/>
              <w:rPr>
                <w:rFonts w:ascii="Calibri" w:hAnsi="Calibri" w:cs="Calibri"/>
                <w:sz w:val="22"/>
                <w:szCs w:val="22"/>
              </w:rPr>
            </w:pPr>
            <w:r>
              <w:rPr>
                <w:rFonts w:ascii="Calibri" w:hAnsi="Calibri" w:cs="Calibri"/>
                <w:sz w:val="22"/>
                <w:szCs w:val="22"/>
              </w:rPr>
              <w:t>£3</w:t>
            </w:r>
            <w:r w:rsidR="00B7197A">
              <w:rPr>
                <w:rFonts w:ascii="Calibri" w:hAnsi="Calibri" w:cs="Calibri"/>
                <w:sz w:val="22"/>
                <w:szCs w:val="22"/>
              </w:rPr>
              <w:t>31.12</w:t>
            </w: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E</w:t>
            </w:r>
          </w:p>
          <w:p w:rsidR="002965AD" w:rsidRPr="00F81194" w:rsidRDefault="002965AD" w:rsidP="002965AD">
            <w:pPr>
              <w:rPr>
                <w:sz w:val="22"/>
                <w:szCs w:val="22"/>
              </w:rPr>
            </w:pPr>
          </w:p>
        </w:tc>
        <w:tc>
          <w:tcPr>
            <w:tcW w:w="1422" w:type="pct"/>
            <w:vMerge/>
            <w:tcBorders>
              <w:right w:val="single" w:sz="4" w:space="0" w:color="auto"/>
            </w:tcBorders>
          </w:tcPr>
          <w:p w:rsidR="002965AD" w:rsidRPr="00F81194" w:rsidRDefault="002965AD" w:rsidP="002965AD">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£279.38</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£439.77</w:t>
            </w: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D</w:t>
            </w:r>
          </w:p>
          <w:p w:rsidR="002965AD" w:rsidRPr="00F81194" w:rsidRDefault="002965AD" w:rsidP="002965AD">
            <w:pPr>
              <w:rPr>
                <w:sz w:val="22"/>
                <w:szCs w:val="22"/>
              </w:rPr>
            </w:pPr>
          </w:p>
        </w:tc>
        <w:tc>
          <w:tcPr>
            <w:tcW w:w="1422" w:type="pct"/>
            <w:vMerge/>
            <w:tcBorders>
              <w:right w:val="single" w:sz="4" w:space="0" w:color="auto"/>
            </w:tcBorders>
          </w:tcPr>
          <w:p w:rsidR="002965AD" w:rsidRPr="00F81194" w:rsidRDefault="002965AD" w:rsidP="002965AD">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2965AD" w:rsidP="00B7197A">
            <w:pPr>
              <w:jc w:val="center"/>
              <w:rPr>
                <w:rFonts w:ascii="Calibri" w:hAnsi="Calibri" w:cs="Calibri"/>
                <w:sz w:val="22"/>
                <w:szCs w:val="22"/>
              </w:rPr>
            </w:pPr>
            <w:r>
              <w:rPr>
                <w:rFonts w:ascii="Calibri" w:hAnsi="Calibri" w:cs="Calibri"/>
                <w:sz w:val="22"/>
                <w:szCs w:val="22"/>
              </w:rPr>
              <w:t>£</w:t>
            </w:r>
            <w:r w:rsidR="00B7197A">
              <w:rPr>
                <w:rFonts w:ascii="Calibri" w:hAnsi="Calibri" w:cs="Calibri"/>
                <w:sz w:val="22"/>
                <w:szCs w:val="22"/>
              </w:rPr>
              <w:t>434.60</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2965AD" w:rsidP="00546492">
            <w:pPr>
              <w:jc w:val="center"/>
              <w:rPr>
                <w:rFonts w:ascii="Calibri" w:hAnsi="Calibri" w:cs="Calibri"/>
                <w:sz w:val="22"/>
                <w:szCs w:val="22"/>
              </w:rPr>
            </w:pPr>
            <w:r>
              <w:rPr>
                <w:rFonts w:ascii="Calibri" w:hAnsi="Calibri" w:cs="Calibri"/>
                <w:sz w:val="22"/>
                <w:szCs w:val="22"/>
              </w:rPr>
              <w:t>£</w:t>
            </w:r>
            <w:r w:rsidR="00B7197A">
              <w:rPr>
                <w:rFonts w:ascii="Calibri" w:hAnsi="Calibri" w:cs="Calibri"/>
                <w:sz w:val="22"/>
                <w:szCs w:val="22"/>
              </w:rPr>
              <w:t>615.68</w:t>
            </w: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C</w:t>
            </w:r>
          </w:p>
          <w:p w:rsidR="002965AD" w:rsidRPr="00F81194" w:rsidRDefault="002965AD" w:rsidP="002965AD">
            <w:pPr>
              <w:rPr>
                <w:sz w:val="22"/>
                <w:szCs w:val="22"/>
              </w:rPr>
            </w:pPr>
          </w:p>
        </w:tc>
        <w:tc>
          <w:tcPr>
            <w:tcW w:w="1422" w:type="pct"/>
            <w:vMerge/>
            <w:tcBorders>
              <w:right w:val="single" w:sz="4" w:space="0" w:color="auto"/>
            </w:tcBorders>
          </w:tcPr>
          <w:p w:rsidR="002965AD" w:rsidRPr="00F81194" w:rsidRDefault="002965AD" w:rsidP="002965AD">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£475.99</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£672.59</w:t>
            </w: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B</w:t>
            </w:r>
          </w:p>
          <w:p w:rsidR="002965AD" w:rsidRPr="00F81194" w:rsidRDefault="002965AD" w:rsidP="002965AD">
            <w:pPr>
              <w:rPr>
                <w:sz w:val="22"/>
                <w:szCs w:val="22"/>
              </w:rPr>
            </w:pPr>
          </w:p>
        </w:tc>
        <w:tc>
          <w:tcPr>
            <w:tcW w:w="1422" w:type="pct"/>
            <w:vMerge/>
            <w:tcBorders>
              <w:right w:val="single" w:sz="4" w:space="0" w:color="auto"/>
            </w:tcBorders>
          </w:tcPr>
          <w:p w:rsidR="002965AD" w:rsidRPr="00F81194" w:rsidRDefault="002965AD" w:rsidP="002965AD">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£507.03</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£724.33</w:t>
            </w:r>
          </w:p>
        </w:tc>
      </w:tr>
      <w:tr w:rsidR="002965AD" w:rsidTr="00546492">
        <w:tc>
          <w:tcPr>
            <w:tcW w:w="805" w:type="pct"/>
            <w:vMerge/>
          </w:tcPr>
          <w:p w:rsidR="002965AD" w:rsidRPr="00F81194" w:rsidRDefault="002965AD" w:rsidP="002965AD">
            <w:pPr>
              <w:rPr>
                <w:sz w:val="22"/>
                <w:szCs w:val="22"/>
              </w:rPr>
            </w:pPr>
          </w:p>
        </w:tc>
        <w:tc>
          <w:tcPr>
            <w:tcW w:w="1311" w:type="pct"/>
            <w:shd w:val="clear" w:color="000000" w:fill="FFFFFF"/>
            <w:vAlign w:val="center"/>
          </w:tcPr>
          <w:p w:rsidR="002965AD" w:rsidRPr="00F81194" w:rsidRDefault="002965AD" w:rsidP="002965AD">
            <w:pPr>
              <w:rPr>
                <w:sz w:val="22"/>
                <w:szCs w:val="22"/>
              </w:rPr>
            </w:pPr>
            <w:r w:rsidRPr="00F81194">
              <w:rPr>
                <w:sz w:val="22"/>
                <w:szCs w:val="22"/>
              </w:rPr>
              <w:t>IDACI Band A</w:t>
            </w:r>
          </w:p>
          <w:p w:rsidR="002965AD" w:rsidRPr="00F81194" w:rsidRDefault="002965AD" w:rsidP="002965AD">
            <w:pPr>
              <w:rPr>
                <w:sz w:val="22"/>
                <w:szCs w:val="22"/>
              </w:rPr>
            </w:pPr>
          </w:p>
        </w:tc>
        <w:tc>
          <w:tcPr>
            <w:tcW w:w="1422" w:type="pct"/>
            <w:vMerge/>
            <w:tcBorders>
              <w:right w:val="single" w:sz="4" w:space="0" w:color="auto"/>
            </w:tcBorders>
          </w:tcPr>
          <w:p w:rsidR="002965AD" w:rsidRPr="00F81194" w:rsidRDefault="002965AD" w:rsidP="002965AD">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£662.24</w:t>
            </w:r>
          </w:p>
        </w:tc>
        <w:tc>
          <w:tcPr>
            <w:tcW w:w="751" w:type="pct"/>
            <w:tcBorders>
              <w:top w:val="single" w:sz="4" w:space="0" w:color="auto"/>
              <w:left w:val="single" w:sz="4" w:space="0" w:color="auto"/>
              <w:bottom w:val="single" w:sz="4" w:space="0" w:color="auto"/>
              <w:right w:val="single" w:sz="4" w:space="0" w:color="auto"/>
            </w:tcBorders>
            <w:shd w:val="clear" w:color="auto" w:fill="CCCCFF"/>
            <w:vAlign w:val="center"/>
          </w:tcPr>
          <w:p w:rsidR="002965AD" w:rsidRDefault="00B7197A" w:rsidP="00546492">
            <w:pPr>
              <w:jc w:val="center"/>
              <w:rPr>
                <w:rFonts w:ascii="Calibri" w:hAnsi="Calibri" w:cs="Calibri"/>
                <w:sz w:val="22"/>
                <w:szCs w:val="22"/>
              </w:rPr>
            </w:pPr>
            <w:r>
              <w:rPr>
                <w:rFonts w:ascii="Calibri" w:hAnsi="Calibri" w:cs="Calibri"/>
                <w:sz w:val="22"/>
                <w:szCs w:val="22"/>
              </w:rPr>
              <w:t>£920.93</w:t>
            </w:r>
          </w:p>
        </w:tc>
      </w:tr>
      <w:tr w:rsidR="002965AD" w:rsidTr="00F81194">
        <w:tc>
          <w:tcPr>
            <w:tcW w:w="805" w:type="pct"/>
          </w:tcPr>
          <w:p w:rsidR="002965AD" w:rsidRPr="005231D6" w:rsidRDefault="002965AD" w:rsidP="002965AD">
            <w:pPr>
              <w:rPr>
                <w:color w:val="7F7F7F" w:themeColor="text1" w:themeTint="80"/>
                <w:sz w:val="22"/>
                <w:szCs w:val="22"/>
              </w:rPr>
            </w:pPr>
            <w:r w:rsidRPr="0044341A">
              <w:rPr>
                <w:color w:val="7F7F7F" w:themeColor="text1" w:themeTint="80"/>
                <w:sz w:val="22"/>
                <w:szCs w:val="22"/>
              </w:rPr>
              <w:t>3) Looked After Children (LAC)</w:t>
            </w:r>
          </w:p>
        </w:tc>
        <w:tc>
          <w:tcPr>
            <w:tcW w:w="4195" w:type="pct"/>
            <w:gridSpan w:val="4"/>
          </w:tcPr>
          <w:p w:rsidR="002965AD" w:rsidRPr="005231D6" w:rsidRDefault="002965AD" w:rsidP="00423053">
            <w:pPr>
              <w:rPr>
                <w:color w:val="7F7F7F" w:themeColor="text1" w:themeTint="80"/>
                <w:sz w:val="22"/>
                <w:szCs w:val="22"/>
              </w:rPr>
            </w:pPr>
            <w:r w:rsidRPr="0044341A">
              <w:rPr>
                <w:color w:val="7F7F7F" w:themeColor="text1" w:themeTint="80"/>
                <w:sz w:val="22"/>
                <w:szCs w:val="22"/>
              </w:rPr>
              <w:t>The DfE does not use a LAC factor in the national funding formula. WBC does not use this optional factor.</w:t>
            </w:r>
            <w:r w:rsidRPr="005231D6">
              <w:rPr>
                <w:color w:val="7F7F7F" w:themeColor="text1" w:themeTint="80"/>
                <w:sz w:val="22"/>
                <w:szCs w:val="22"/>
              </w:rPr>
              <w:t xml:space="preserve"> </w:t>
            </w:r>
          </w:p>
        </w:tc>
      </w:tr>
      <w:tr w:rsidR="002965AD" w:rsidTr="00546492">
        <w:tc>
          <w:tcPr>
            <w:tcW w:w="805" w:type="pct"/>
          </w:tcPr>
          <w:p w:rsidR="002965AD" w:rsidRPr="00F81194" w:rsidRDefault="002965AD" w:rsidP="002965AD">
            <w:pPr>
              <w:rPr>
                <w:sz w:val="22"/>
                <w:szCs w:val="22"/>
              </w:rPr>
            </w:pPr>
            <w:r w:rsidRPr="00F81194">
              <w:rPr>
                <w:sz w:val="22"/>
                <w:szCs w:val="22"/>
              </w:rPr>
              <w:t>4</w:t>
            </w:r>
            <w:r>
              <w:rPr>
                <w:sz w:val="22"/>
                <w:szCs w:val="22"/>
              </w:rPr>
              <w:t>)</w:t>
            </w:r>
            <w:r w:rsidRPr="00F81194">
              <w:rPr>
                <w:sz w:val="22"/>
                <w:szCs w:val="22"/>
              </w:rPr>
              <w:t xml:space="preserve"> English as an Additional Language (EAL)</w:t>
            </w:r>
          </w:p>
          <w:p w:rsidR="002965AD" w:rsidRPr="00F81194" w:rsidRDefault="002965AD" w:rsidP="002965AD">
            <w:pPr>
              <w:rPr>
                <w:sz w:val="22"/>
                <w:szCs w:val="22"/>
              </w:rPr>
            </w:pPr>
            <w:r w:rsidRPr="00F81194">
              <w:rPr>
                <w:color w:val="7F7F7F" w:themeColor="text1" w:themeTint="80"/>
                <w:sz w:val="22"/>
                <w:szCs w:val="22"/>
              </w:rPr>
              <w:t>An optional factor</w:t>
            </w:r>
          </w:p>
        </w:tc>
        <w:tc>
          <w:tcPr>
            <w:tcW w:w="1311" w:type="pct"/>
          </w:tcPr>
          <w:p w:rsidR="002965AD" w:rsidRPr="00F81194" w:rsidRDefault="002965AD" w:rsidP="002965AD">
            <w:pPr>
              <w:rPr>
                <w:sz w:val="22"/>
                <w:szCs w:val="22"/>
              </w:rPr>
            </w:pPr>
            <w:r w:rsidRPr="00F81194">
              <w:rPr>
                <w:sz w:val="22"/>
                <w:szCs w:val="22"/>
              </w:rPr>
              <w:t>English as an additional language, for a maximum of 3 years after the pupil enters the statutory age school system.</w:t>
            </w:r>
          </w:p>
        </w:tc>
        <w:tc>
          <w:tcPr>
            <w:tcW w:w="1422" w:type="pct"/>
          </w:tcPr>
          <w:p w:rsidR="002965AD" w:rsidRPr="00F81194" w:rsidRDefault="00222155" w:rsidP="002965AD">
            <w:pPr>
              <w:rPr>
                <w:sz w:val="22"/>
                <w:szCs w:val="22"/>
              </w:rPr>
            </w:pPr>
            <w:r>
              <w:rPr>
                <w:sz w:val="22"/>
                <w:szCs w:val="22"/>
              </w:rPr>
              <w:t>October 2021</w:t>
            </w:r>
            <w:r w:rsidR="002965AD" w:rsidRPr="00C6486B">
              <w:rPr>
                <w:sz w:val="22"/>
                <w:szCs w:val="22"/>
              </w:rPr>
              <w:t xml:space="preserve"> census </w:t>
            </w:r>
            <w:r w:rsidR="002965AD">
              <w:rPr>
                <w:sz w:val="22"/>
                <w:szCs w:val="22"/>
              </w:rPr>
              <w:t>for EAL- eligible pupils</w:t>
            </w:r>
          </w:p>
        </w:tc>
        <w:tc>
          <w:tcPr>
            <w:tcW w:w="71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723597" w:rsidRPr="00723597" w:rsidRDefault="00723597" w:rsidP="00723597">
            <w:pPr>
              <w:jc w:val="center"/>
              <w:rPr>
                <w:rFonts w:ascii="Calibri" w:hAnsi="Calibri" w:cs="Calibri"/>
                <w:sz w:val="22"/>
                <w:szCs w:val="22"/>
              </w:rPr>
            </w:pPr>
            <w:r w:rsidRPr="00723597">
              <w:rPr>
                <w:rFonts w:ascii="Calibri" w:hAnsi="Calibri" w:cs="Calibri"/>
                <w:sz w:val="22"/>
                <w:szCs w:val="22"/>
              </w:rPr>
              <w:t>£584.63</w:t>
            </w:r>
          </w:p>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723597" w:rsidRPr="00723597" w:rsidRDefault="00723597" w:rsidP="00723597">
            <w:pPr>
              <w:jc w:val="center"/>
              <w:rPr>
                <w:rFonts w:ascii="Calibri" w:hAnsi="Calibri" w:cs="Calibri"/>
                <w:sz w:val="22"/>
                <w:szCs w:val="22"/>
              </w:rPr>
            </w:pPr>
            <w:r w:rsidRPr="00723597">
              <w:rPr>
                <w:rFonts w:ascii="Calibri" w:hAnsi="Calibri" w:cs="Calibri"/>
                <w:sz w:val="22"/>
                <w:szCs w:val="22"/>
              </w:rPr>
              <w:t>£1,583.17</w:t>
            </w:r>
          </w:p>
          <w:p w:rsidR="002965AD" w:rsidRPr="00546492" w:rsidRDefault="002965AD" w:rsidP="00546492">
            <w:pPr>
              <w:jc w:val="center"/>
              <w:rPr>
                <w:rFonts w:ascii="Calibri" w:hAnsi="Calibri" w:cs="Calibri"/>
                <w:sz w:val="22"/>
                <w:szCs w:val="22"/>
              </w:rPr>
            </w:pPr>
          </w:p>
        </w:tc>
      </w:tr>
      <w:tr w:rsidR="002965AD" w:rsidTr="00546492">
        <w:tc>
          <w:tcPr>
            <w:tcW w:w="805" w:type="pct"/>
          </w:tcPr>
          <w:p w:rsidR="002965AD" w:rsidRDefault="002965AD" w:rsidP="002965AD">
            <w:pPr>
              <w:rPr>
                <w:sz w:val="22"/>
                <w:szCs w:val="22"/>
              </w:rPr>
            </w:pPr>
            <w:r>
              <w:rPr>
                <w:sz w:val="22"/>
                <w:szCs w:val="22"/>
              </w:rPr>
              <w:t>5) Mobility</w:t>
            </w:r>
          </w:p>
          <w:p w:rsidR="002965AD" w:rsidRPr="00F81194" w:rsidRDefault="002965AD" w:rsidP="002965AD">
            <w:pPr>
              <w:rPr>
                <w:sz w:val="22"/>
                <w:szCs w:val="22"/>
              </w:rPr>
            </w:pPr>
            <w:r w:rsidRPr="003A31A3">
              <w:rPr>
                <w:color w:val="7F7F7F"/>
                <w:sz w:val="22"/>
                <w:szCs w:val="22"/>
              </w:rPr>
              <w:t>An optional factor</w:t>
            </w:r>
          </w:p>
        </w:tc>
        <w:tc>
          <w:tcPr>
            <w:tcW w:w="1311" w:type="pct"/>
          </w:tcPr>
          <w:p w:rsidR="002965AD" w:rsidRPr="00F81194" w:rsidRDefault="002965AD" w:rsidP="00500964">
            <w:pPr>
              <w:rPr>
                <w:sz w:val="22"/>
                <w:szCs w:val="22"/>
              </w:rPr>
            </w:pPr>
            <w:r w:rsidRPr="003A31A3">
              <w:rPr>
                <w:sz w:val="22"/>
                <w:szCs w:val="22"/>
              </w:rPr>
              <w:t>Pupils whose school census record at their current school (or one of its predecessors) in the last three years</w:t>
            </w:r>
            <w:r>
              <w:rPr>
                <w:sz w:val="22"/>
                <w:szCs w:val="22"/>
              </w:rPr>
              <w:t xml:space="preserve"> indicates an entry date </w:t>
            </w:r>
            <w:r>
              <w:rPr>
                <w:sz w:val="22"/>
                <w:szCs w:val="22"/>
              </w:rPr>
              <w:lastRenderedPageBreak/>
              <w:t>that is</w:t>
            </w:r>
            <w:r w:rsidRPr="003A31A3">
              <w:rPr>
                <w:sz w:val="22"/>
                <w:szCs w:val="22"/>
              </w:rPr>
              <w:t xml:space="preserve"> not typical, above a 6% of </w:t>
            </w:r>
            <w:r w:rsidR="00500964">
              <w:rPr>
                <w:sz w:val="22"/>
                <w:szCs w:val="22"/>
              </w:rPr>
              <w:t>Numbers on roll (N</w:t>
            </w:r>
            <w:r w:rsidRPr="003A31A3">
              <w:rPr>
                <w:sz w:val="22"/>
                <w:szCs w:val="22"/>
              </w:rPr>
              <w:t>OR</w:t>
            </w:r>
            <w:r w:rsidR="00500964">
              <w:rPr>
                <w:sz w:val="22"/>
                <w:szCs w:val="22"/>
              </w:rPr>
              <w:t>)</w:t>
            </w:r>
            <w:r w:rsidRPr="003A31A3">
              <w:rPr>
                <w:sz w:val="22"/>
                <w:szCs w:val="22"/>
              </w:rPr>
              <w:t xml:space="preserve"> threshold.</w:t>
            </w:r>
          </w:p>
        </w:tc>
        <w:tc>
          <w:tcPr>
            <w:tcW w:w="1422" w:type="pct"/>
          </w:tcPr>
          <w:p w:rsidR="002965AD" w:rsidRDefault="00222155" w:rsidP="002965AD">
            <w:pPr>
              <w:rPr>
                <w:sz w:val="22"/>
                <w:szCs w:val="22"/>
              </w:rPr>
            </w:pPr>
            <w:r>
              <w:rPr>
                <w:sz w:val="22"/>
                <w:szCs w:val="22"/>
              </w:rPr>
              <w:lastRenderedPageBreak/>
              <w:t>October 2021</w:t>
            </w:r>
            <w:r w:rsidR="002965AD" w:rsidRPr="003A31A3">
              <w:rPr>
                <w:sz w:val="22"/>
                <w:szCs w:val="22"/>
              </w:rPr>
              <w:t xml:space="preserve"> census, p</w:t>
            </w:r>
            <w:r>
              <w:rPr>
                <w:sz w:val="22"/>
                <w:szCs w:val="22"/>
              </w:rPr>
              <w:t>lus January, May or October 2019 and 2020 or October 2018</w:t>
            </w:r>
            <w:r w:rsidR="002965AD" w:rsidRPr="003A31A3">
              <w:rPr>
                <w:sz w:val="22"/>
                <w:szCs w:val="22"/>
              </w:rPr>
              <w:t xml:space="preserve"> censuses.</w:t>
            </w:r>
          </w:p>
        </w:tc>
        <w:tc>
          <w:tcPr>
            <w:tcW w:w="71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3143E1" w:rsidRPr="003143E1" w:rsidRDefault="003143E1" w:rsidP="003143E1">
            <w:pPr>
              <w:jc w:val="center"/>
              <w:rPr>
                <w:rFonts w:ascii="Calibri" w:hAnsi="Calibri" w:cs="Calibri"/>
                <w:sz w:val="22"/>
                <w:szCs w:val="22"/>
              </w:rPr>
            </w:pPr>
            <w:r w:rsidRPr="003143E1">
              <w:rPr>
                <w:rFonts w:ascii="Calibri" w:hAnsi="Calibri" w:cs="Calibri"/>
                <w:sz w:val="22"/>
                <w:szCs w:val="22"/>
              </w:rPr>
              <w:t>£957.14</w:t>
            </w:r>
          </w:p>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3143E1" w:rsidRPr="003143E1" w:rsidRDefault="003143E1" w:rsidP="003143E1">
            <w:pPr>
              <w:jc w:val="center"/>
              <w:rPr>
                <w:rFonts w:ascii="Calibri" w:hAnsi="Calibri" w:cs="Calibri"/>
                <w:sz w:val="22"/>
                <w:szCs w:val="22"/>
              </w:rPr>
            </w:pPr>
            <w:r w:rsidRPr="003143E1">
              <w:rPr>
                <w:rFonts w:ascii="Calibri" w:hAnsi="Calibri" w:cs="Calibri"/>
                <w:sz w:val="22"/>
                <w:szCs w:val="22"/>
              </w:rPr>
              <w:t>£1,376.22</w:t>
            </w:r>
          </w:p>
          <w:p w:rsidR="002965AD" w:rsidRPr="00546492" w:rsidRDefault="002965AD" w:rsidP="00546492">
            <w:pPr>
              <w:jc w:val="center"/>
              <w:rPr>
                <w:rFonts w:ascii="Calibri" w:hAnsi="Calibri" w:cs="Calibri"/>
                <w:sz w:val="22"/>
                <w:szCs w:val="22"/>
              </w:rPr>
            </w:pPr>
          </w:p>
        </w:tc>
      </w:tr>
      <w:tr w:rsidR="002965AD" w:rsidTr="009766D1">
        <w:tc>
          <w:tcPr>
            <w:tcW w:w="805" w:type="pct"/>
          </w:tcPr>
          <w:p w:rsidR="002965AD" w:rsidRDefault="002965AD" w:rsidP="002965AD">
            <w:pPr>
              <w:rPr>
                <w:sz w:val="22"/>
                <w:szCs w:val="22"/>
              </w:rPr>
            </w:pPr>
            <w:r>
              <w:rPr>
                <w:sz w:val="22"/>
                <w:szCs w:val="22"/>
              </w:rPr>
              <w:t>6) Prior attainment</w:t>
            </w:r>
          </w:p>
          <w:p w:rsidR="002965AD" w:rsidRPr="00F81194" w:rsidRDefault="002965AD" w:rsidP="002965AD">
            <w:pPr>
              <w:rPr>
                <w:sz w:val="22"/>
                <w:szCs w:val="22"/>
              </w:rPr>
            </w:pPr>
            <w:r w:rsidRPr="003A31A3">
              <w:rPr>
                <w:color w:val="7F7F7F"/>
                <w:sz w:val="22"/>
                <w:szCs w:val="22"/>
              </w:rPr>
              <w:t>An optional factor</w:t>
            </w:r>
          </w:p>
        </w:tc>
        <w:tc>
          <w:tcPr>
            <w:tcW w:w="1311" w:type="pct"/>
          </w:tcPr>
          <w:p w:rsidR="002965AD" w:rsidRDefault="002965AD" w:rsidP="002965AD">
            <w:pPr>
              <w:rPr>
                <w:sz w:val="22"/>
                <w:szCs w:val="22"/>
              </w:rPr>
            </w:pPr>
            <w:r>
              <w:rPr>
                <w:sz w:val="22"/>
                <w:szCs w:val="22"/>
              </w:rPr>
              <w:t>P</w:t>
            </w:r>
            <w:r w:rsidRPr="002965AD">
              <w:rPr>
                <w:sz w:val="22"/>
                <w:szCs w:val="22"/>
              </w:rPr>
              <w:t>rimary pupils identified as not achieving the expected level of development</w:t>
            </w:r>
          </w:p>
          <w:p w:rsidR="00546492" w:rsidRDefault="00546492" w:rsidP="002965AD">
            <w:pPr>
              <w:rPr>
                <w:sz w:val="22"/>
                <w:szCs w:val="22"/>
              </w:rPr>
            </w:pPr>
          </w:p>
          <w:p w:rsidR="00546492" w:rsidRPr="00F81194" w:rsidRDefault="00546492" w:rsidP="002965AD">
            <w:pPr>
              <w:rPr>
                <w:sz w:val="22"/>
                <w:szCs w:val="22"/>
              </w:rPr>
            </w:pPr>
          </w:p>
        </w:tc>
        <w:tc>
          <w:tcPr>
            <w:tcW w:w="1422" w:type="pct"/>
          </w:tcPr>
          <w:p w:rsidR="002965AD" w:rsidRDefault="002965AD" w:rsidP="0081249F">
            <w:pPr>
              <w:pStyle w:val="Default"/>
              <w:rPr>
                <w:sz w:val="22"/>
                <w:szCs w:val="22"/>
              </w:rPr>
            </w:pPr>
            <w:r>
              <w:rPr>
                <w:sz w:val="23"/>
                <w:szCs w:val="23"/>
              </w:rPr>
              <w:t xml:space="preserve">Early Years Foundation Stage Profile (EYFSP) total </w:t>
            </w:r>
            <w:r w:rsidR="00561E51">
              <w:rPr>
                <w:sz w:val="23"/>
                <w:szCs w:val="23"/>
              </w:rPr>
              <w:t>score mapped to the October 2021</w:t>
            </w:r>
            <w:r>
              <w:rPr>
                <w:sz w:val="23"/>
                <w:szCs w:val="23"/>
              </w:rPr>
              <w:t xml:space="preserve"> census. </w:t>
            </w:r>
            <w:r w:rsidR="0081249F" w:rsidRPr="0081249F">
              <w:rPr>
                <w:sz w:val="23"/>
                <w:szCs w:val="23"/>
              </w:rPr>
              <w:t>As there were no EYFSP tests in 2020 and 2021, year 1 and year 2 will use the year 3 ratio or the local authority year 3 average</w:t>
            </w:r>
          </w:p>
        </w:tc>
        <w:tc>
          <w:tcPr>
            <w:tcW w:w="711" w:type="pct"/>
            <w:shd w:val="clear" w:color="auto" w:fill="CCCCFF"/>
          </w:tcPr>
          <w:p w:rsidR="00546492" w:rsidRDefault="00546492" w:rsidP="00546492">
            <w:pPr>
              <w:jc w:val="center"/>
              <w:rPr>
                <w:rFonts w:ascii="Calibri" w:hAnsi="Calibri" w:cs="Calibri"/>
                <w:sz w:val="22"/>
                <w:szCs w:val="22"/>
              </w:rPr>
            </w:pPr>
          </w:p>
          <w:p w:rsidR="00546492" w:rsidRDefault="00546492" w:rsidP="00546492">
            <w:pPr>
              <w:jc w:val="center"/>
              <w:rPr>
                <w:rFonts w:ascii="Calibri" w:hAnsi="Calibri" w:cs="Calibri"/>
                <w:sz w:val="22"/>
                <w:szCs w:val="22"/>
              </w:rPr>
            </w:pPr>
          </w:p>
          <w:p w:rsidR="003143E1" w:rsidRPr="003143E1" w:rsidRDefault="003143E1" w:rsidP="003143E1">
            <w:pPr>
              <w:jc w:val="center"/>
              <w:rPr>
                <w:rFonts w:ascii="Calibri" w:hAnsi="Calibri" w:cs="Calibri"/>
                <w:sz w:val="22"/>
                <w:szCs w:val="22"/>
              </w:rPr>
            </w:pPr>
            <w:r w:rsidRPr="003143E1">
              <w:rPr>
                <w:rFonts w:ascii="Calibri" w:hAnsi="Calibri" w:cs="Calibri"/>
                <w:sz w:val="22"/>
                <w:szCs w:val="22"/>
              </w:rPr>
              <w:t>£1,169.27</w:t>
            </w:r>
          </w:p>
          <w:p w:rsidR="002965AD" w:rsidRPr="00546492" w:rsidRDefault="002965AD" w:rsidP="00546492">
            <w:pPr>
              <w:jc w:val="center"/>
              <w:rPr>
                <w:rFonts w:ascii="Calibri" w:hAnsi="Calibri" w:cs="Calibri"/>
                <w:sz w:val="22"/>
                <w:szCs w:val="22"/>
              </w:rPr>
            </w:pPr>
          </w:p>
        </w:tc>
        <w:tc>
          <w:tcPr>
            <w:tcW w:w="751" w:type="pct"/>
            <w:shd w:val="clear" w:color="auto" w:fill="F2F2F2" w:themeFill="background1" w:themeFillShade="F2"/>
          </w:tcPr>
          <w:p w:rsidR="002965AD" w:rsidRPr="00546492" w:rsidRDefault="002965AD" w:rsidP="00546492">
            <w:pPr>
              <w:jc w:val="center"/>
              <w:rPr>
                <w:rFonts w:ascii="Calibri" w:hAnsi="Calibri" w:cs="Calibri"/>
                <w:sz w:val="22"/>
                <w:szCs w:val="22"/>
              </w:rPr>
            </w:pPr>
          </w:p>
        </w:tc>
      </w:tr>
      <w:tr w:rsidR="002965AD" w:rsidTr="009766D1">
        <w:tc>
          <w:tcPr>
            <w:tcW w:w="805" w:type="pct"/>
          </w:tcPr>
          <w:p w:rsidR="00546492" w:rsidRPr="00546492" w:rsidRDefault="00546492" w:rsidP="00546492">
            <w:pPr>
              <w:rPr>
                <w:sz w:val="22"/>
                <w:szCs w:val="22"/>
              </w:rPr>
            </w:pPr>
            <w:r>
              <w:rPr>
                <w:sz w:val="22"/>
                <w:szCs w:val="22"/>
              </w:rPr>
              <w:t>6</w:t>
            </w:r>
            <w:r w:rsidRPr="00546492">
              <w:rPr>
                <w:sz w:val="22"/>
                <w:szCs w:val="22"/>
              </w:rPr>
              <w:t>) Prior attainment</w:t>
            </w:r>
          </w:p>
          <w:p w:rsidR="002965AD" w:rsidRPr="00F81194" w:rsidRDefault="00546492" w:rsidP="00546492">
            <w:pPr>
              <w:rPr>
                <w:sz w:val="22"/>
                <w:szCs w:val="22"/>
              </w:rPr>
            </w:pPr>
            <w:r w:rsidRPr="00546492">
              <w:rPr>
                <w:color w:val="7F7F7F"/>
                <w:sz w:val="22"/>
                <w:szCs w:val="22"/>
              </w:rPr>
              <w:t>An optional factor</w:t>
            </w:r>
          </w:p>
        </w:tc>
        <w:tc>
          <w:tcPr>
            <w:tcW w:w="1311" w:type="pct"/>
          </w:tcPr>
          <w:p w:rsidR="002965AD" w:rsidRDefault="002965AD" w:rsidP="002965AD">
            <w:pPr>
              <w:pStyle w:val="Default"/>
              <w:rPr>
                <w:sz w:val="23"/>
                <w:szCs w:val="23"/>
              </w:rPr>
            </w:pPr>
            <w:r>
              <w:rPr>
                <w:sz w:val="23"/>
                <w:szCs w:val="23"/>
              </w:rPr>
              <w:t xml:space="preserve">Secondary pupils not reaching the expected standard in KS2 at either reading or writing or maths. National weightings have been applied to year groups 7 to 10. </w:t>
            </w:r>
          </w:p>
          <w:p w:rsidR="002965AD" w:rsidRPr="00F81194" w:rsidRDefault="002965AD" w:rsidP="002965AD">
            <w:pPr>
              <w:rPr>
                <w:sz w:val="22"/>
                <w:szCs w:val="22"/>
              </w:rPr>
            </w:pPr>
          </w:p>
        </w:tc>
        <w:tc>
          <w:tcPr>
            <w:tcW w:w="1422" w:type="pct"/>
          </w:tcPr>
          <w:p w:rsidR="002965AD" w:rsidRDefault="002965AD" w:rsidP="0081249F">
            <w:pPr>
              <w:pStyle w:val="Default"/>
              <w:rPr>
                <w:sz w:val="22"/>
                <w:szCs w:val="22"/>
              </w:rPr>
            </w:pPr>
            <w:r>
              <w:rPr>
                <w:sz w:val="23"/>
                <w:szCs w:val="23"/>
              </w:rPr>
              <w:t>KS2 attainment</w:t>
            </w:r>
            <w:r w:rsidR="00561E51">
              <w:rPr>
                <w:sz w:val="23"/>
                <w:szCs w:val="23"/>
              </w:rPr>
              <w:t xml:space="preserve"> data (2019 assessment data used as a proxy) mapped to the October 2021</w:t>
            </w:r>
            <w:r>
              <w:rPr>
                <w:sz w:val="23"/>
                <w:szCs w:val="23"/>
              </w:rPr>
              <w:t xml:space="preserve"> census. </w:t>
            </w:r>
            <w:r w:rsidR="0081249F" w:rsidRPr="0081249F">
              <w:rPr>
                <w:sz w:val="23"/>
                <w:szCs w:val="23"/>
              </w:rPr>
              <w:t>As there were no KS2 tests in 2020 and 2021, year 7 and year 8 will use the year 9 ratio or the local authority year 9 average</w:t>
            </w:r>
          </w:p>
        </w:tc>
        <w:tc>
          <w:tcPr>
            <w:tcW w:w="711" w:type="pct"/>
            <w:shd w:val="clear" w:color="auto" w:fill="F2F2F2" w:themeFill="background1" w:themeFillShade="F2"/>
          </w:tcPr>
          <w:p w:rsidR="002965AD" w:rsidRPr="00546492" w:rsidRDefault="002965AD" w:rsidP="00546492">
            <w:pPr>
              <w:jc w:val="center"/>
              <w:rPr>
                <w:rFonts w:ascii="Calibri" w:hAnsi="Calibri" w:cs="Calibri"/>
                <w:sz w:val="22"/>
                <w:szCs w:val="22"/>
              </w:rPr>
            </w:pPr>
          </w:p>
        </w:tc>
        <w:tc>
          <w:tcPr>
            <w:tcW w:w="751" w:type="pct"/>
            <w:shd w:val="clear" w:color="auto" w:fill="CCCCFF"/>
          </w:tcPr>
          <w:p w:rsidR="00546492" w:rsidRDefault="00546492" w:rsidP="00546492">
            <w:pPr>
              <w:jc w:val="center"/>
              <w:rPr>
                <w:rFonts w:ascii="Calibri" w:hAnsi="Calibri" w:cs="Calibri"/>
                <w:sz w:val="22"/>
                <w:szCs w:val="22"/>
              </w:rPr>
            </w:pPr>
          </w:p>
          <w:p w:rsidR="003143E1" w:rsidRDefault="003143E1" w:rsidP="00546492">
            <w:pPr>
              <w:jc w:val="center"/>
              <w:rPr>
                <w:rFonts w:ascii="Calibri" w:hAnsi="Calibri" w:cs="Calibri"/>
                <w:sz w:val="22"/>
                <w:szCs w:val="22"/>
              </w:rPr>
            </w:pPr>
          </w:p>
          <w:p w:rsidR="003143E1" w:rsidRDefault="003143E1" w:rsidP="00546492">
            <w:pPr>
              <w:jc w:val="center"/>
              <w:rPr>
                <w:rFonts w:ascii="Calibri" w:hAnsi="Calibri" w:cs="Calibri"/>
                <w:sz w:val="22"/>
                <w:szCs w:val="22"/>
              </w:rPr>
            </w:pPr>
          </w:p>
          <w:p w:rsidR="003143E1" w:rsidRDefault="003143E1" w:rsidP="00546492">
            <w:pPr>
              <w:jc w:val="center"/>
              <w:rPr>
                <w:rFonts w:ascii="Calibri" w:hAnsi="Calibri" w:cs="Calibri"/>
                <w:sz w:val="22"/>
                <w:szCs w:val="22"/>
              </w:rPr>
            </w:pPr>
          </w:p>
          <w:p w:rsidR="002965AD" w:rsidRDefault="003143E1" w:rsidP="00546492">
            <w:pPr>
              <w:jc w:val="center"/>
              <w:rPr>
                <w:rFonts w:ascii="Calibri" w:hAnsi="Calibri" w:cs="Calibri"/>
                <w:sz w:val="22"/>
                <w:szCs w:val="22"/>
              </w:rPr>
            </w:pPr>
            <w:r>
              <w:rPr>
                <w:rFonts w:ascii="Calibri" w:hAnsi="Calibri" w:cs="Calibri"/>
                <w:sz w:val="22"/>
                <w:szCs w:val="22"/>
              </w:rPr>
              <w:t>£1,769.42</w:t>
            </w:r>
          </w:p>
          <w:p w:rsidR="002965AD" w:rsidRPr="00546492" w:rsidRDefault="002965AD" w:rsidP="00546492">
            <w:pPr>
              <w:jc w:val="center"/>
              <w:rPr>
                <w:rFonts w:ascii="Calibri" w:hAnsi="Calibri" w:cs="Calibri"/>
                <w:sz w:val="22"/>
                <w:szCs w:val="22"/>
              </w:rPr>
            </w:pPr>
          </w:p>
        </w:tc>
      </w:tr>
      <w:tr w:rsidR="00546492" w:rsidTr="009766D1">
        <w:tc>
          <w:tcPr>
            <w:tcW w:w="805" w:type="pct"/>
          </w:tcPr>
          <w:p w:rsidR="00546492" w:rsidRDefault="009B4BB2" w:rsidP="002965AD">
            <w:pPr>
              <w:rPr>
                <w:sz w:val="22"/>
                <w:szCs w:val="22"/>
              </w:rPr>
            </w:pPr>
            <w:r>
              <w:rPr>
                <w:sz w:val="22"/>
                <w:szCs w:val="22"/>
              </w:rPr>
              <w:t xml:space="preserve">7) </w:t>
            </w:r>
            <w:r w:rsidR="00546492">
              <w:rPr>
                <w:sz w:val="22"/>
                <w:szCs w:val="22"/>
              </w:rPr>
              <w:t xml:space="preserve">Lump Sum </w:t>
            </w:r>
          </w:p>
          <w:p w:rsidR="00546492" w:rsidRPr="00F81194" w:rsidRDefault="009B4BB2" w:rsidP="002965AD">
            <w:pPr>
              <w:rPr>
                <w:sz w:val="22"/>
                <w:szCs w:val="22"/>
              </w:rPr>
            </w:pPr>
            <w:r w:rsidRPr="00546492">
              <w:rPr>
                <w:color w:val="7F7F7F"/>
                <w:sz w:val="22"/>
                <w:szCs w:val="22"/>
              </w:rPr>
              <w:t>An optional factor</w:t>
            </w:r>
          </w:p>
        </w:tc>
        <w:tc>
          <w:tcPr>
            <w:tcW w:w="2733" w:type="pct"/>
            <w:gridSpan w:val="2"/>
          </w:tcPr>
          <w:p w:rsidR="009B4BB2" w:rsidRDefault="009B4BB2" w:rsidP="002965AD">
            <w:pPr>
              <w:rPr>
                <w:sz w:val="22"/>
                <w:szCs w:val="22"/>
              </w:rPr>
            </w:pPr>
          </w:p>
          <w:p w:rsidR="00546492" w:rsidRDefault="00546492" w:rsidP="002965AD">
            <w:pPr>
              <w:rPr>
                <w:sz w:val="22"/>
                <w:szCs w:val="22"/>
              </w:rPr>
            </w:pPr>
            <w:r w:rsidRPr="00546492">
              <w:rPr>
                <w:sz w:val="22"/>
                <w:szCs w:val="22"/>
              </w:rPr>
              <w:t>A standard lump sum for each school</w:t>
            </w:r>
          </w:p>
        </w:tc>
        <w:tc>
          <w:tcPr>
            <w:tcW w:w="711" w:type="pct"/>
            <w:shd w:val="clear" w:color="auto" w:fill="CCCCFF"/>
          </w:tcPr>
          <w:p w:rsidR="009B4BB2" w:rsidRDefault="009B4BB2" w:rsidP="009B4BB2">
            <w:pPr>
              <w:jc w:val="center"/>
              <w:rPr>
                <w:rFonts w:ascii="Calibri" w:hAnsi="Calibri" w:cs="Calibri"/>
                <w:sz w:val="22"/>
                <w:szCs w:val="22"/>
              </w:rPr>
            </w:pPr>
          </w:p>
          <w:p w:rsidR="00546492" w:rsidRPr="009B4BB2" w:rsidRDefault="003143E1" w:rsidP="009B4BB2">
            <w:pPr>
              <w:jc w:val="center"/>
              <w:rPr>
                <w:rFonts w:ascii="Calibri" w:hAnsi="Calibri" w:cs="Calibri"/>
                <w:sz w:val="22"/>
                <w:szCs w:val="22"/>
              </w:rPr>
            </w:pPr>
            <w:r>
              <w:rPr>
                <w:rFonts w:ascii="Calibri" w:hAnsi="Calibri" w:cs="Calibri"/>
                <w:sz w:val="22"/>
                <w:szCs w:val="22"/>
              </w:rPr>
              <w:t>£125,515</w:t>
            </w:r>
          </w:p>
        </w:tc>
        <w:tc>
          <w:tcPr>
            <w:tcW w:w="751" w:type="pct"/>
            <w:shd w:val="clear" w:color="auto" w:fill="CCCCFF"/>
          </w:tcPr>
          <w:p w:rsidR="00546492" w:rsidRDefault="00546492" w:rsidP="009B4BB2">
            <w:pPr>
              <w:jc w:val="center"/>
              <w:rPr>
                <w:rFonts w:ascii="Calibri" w:hAnsi="Calibri" w:cs="Calibri"/>
                <w:sz w:val="22"/>
                <w:szCs w:val="22"/>
              </w:rPr>
            </w:pPr>
          </w:p>
          <w:p w:rsidR="009B4BB2" w:rsidRPr="009B4BB2" w:rsidRDefault="003143E1" w:rsidP="009B4BB2">
            <w:pPr>
              <w:jc w:val="center"/>
              <w:rPr>
                <w:rFonts w:ascii="Calibri" w:hAnsi="Calibri" w:cs="Calibri"/>
                <w:sz w:val="22"/>
                <w:szCs w:val="22"/>
              </w:rPr>
            </w:pPr>
            <w:r>
              <w:rPr>
                <w:rFonts w:ascii="Calibri" w:hAnsi="Calibri" w:cs="Calibri"/>
                <w:sz w:val="22"/>
                <w:szCs w:val="22"/>
              </w:rPr>
              <w:t>£125,515</w:t>
            </w:r>
          </w:p>
        </w:tc>
      </w:tr>
      <w:tr w:rsidR="002965AD" w:rsidTr="009766D1">
        <w:tc>
          <w:tcPr>
            <w:tcW w:w="805" w:type="pct"/>
          </w:tcPr>
          <w:p w:rsidR="002965AD" w:rsidRDefault="00D91643" w:rsidP="002965AD">
            <w:pPr>
              <w:rPr>
                <w:sz w:val="22"/>
                <w:szCs w:val="22"/>
              </w:rPr>
            </w:pPr>
            <w:r>
              <w:rPr>
                <w:sz w:val="22"/>
                <w:szCs w:val="22"/>
              </w:rPr>
              <w:t>8) Sparsity</w:t>
            </w:r>
          </w:p>
          <w:p w:rsidR="00B17175" w:rsidRPr="00F81194" w:rsidRDefault="00B17175" w:rsidP="002965AD">
            <w:pPr>
              <w:rPr>
                <w:sz w:val="22"/>
                <w:szCs w:val="22"/>
              </w:rPr>
            </w:pPr>
            <w:r w:rsidRPr="00546492">
              <w:rPr>
                <w:color w:val="7F7F7F"/>
                <w:sz w:val="22"/>
                <w:szCs w:val="22"/>
              </w:rPr>
              <w:t>An optional factor</w:t>
            </w:r>
          </w:p>
        </w:tc>
        <w:tc>
          <w:tcPr>
            <w:tcW w:w="1311" w:type="pct"/>
          </w:tcPr>
          <w:p w:rsidR="00D91643" w:rsidRPr="00D91643" w:rsidRDefault="00D91643" w:rsidP="00D91643">
            <w:pPr>
              <w:rPr>
                <w:sz w:val="22"/>
                <w:szCs w:val="22"/>
              </w:rPr>
            </w:pPr>
            <w:r w:rsidRPr="00D91643">
              <w:rPr>
                <w:sz w:val="22"/>
                <w:szCs w:val="22"/>
              </w:rPr>
              <w:t>Schools that are eligible for sparsity funding must meet two criteria:</w:t>
            </w:r>
          </w:p>
          <w:p w:rsidR="00D91643" w:rsidRPr="00D91643" w:rsidRDefault="00D91643" w:rsidP="00D91643">
            <w:pPr>
              <w:rPr>
                <w:sz w:val="22"/>
                <w:szCs w:val="22"/>
              </w:rPr>
            </w:pPr>
            <w:r w:rsidRPr="00D91643">
              <w:rPr>
                <w:sz w:val="22"/>
                <w:szCs w:val="22"/>
              </w:rPr>
              <w:t xml:space="preserve">– </w:t>
            </w:r>
            <w:r w:rsidR="00561E51">
              <w:rPr>
                <w:sz w:val="22"/>
                <w:szCs w:val="22"/>
              </w:rPr>
              <w:t xml:space="preserve"> Remote (determined by road distance)</w:t>
            </w:r>
          </w:p>
          <w:p w:rsidR="002965AD" w:rsidRPr="00F81194" w:rsidRDefault="00D91643" w:rsidP="00561E51">
            <w:pPr>
              <w:rPr>
                <w:sz w:val="22"/>
                <w:szCs w:val="22"/>
              </w:rPr>
            </w:pPr>
            <w:r w:rsidRPr="00D91643">
              <w:rPr>
                <w:sz w:val="22"/>
                <w:szCs w:val="22"/>
              </w:rPr>
              <w:t xml:space="preserve">– </w:t>
            </w:r>
            <w:r w:rsidR="00561E51">
              <w:rPr>
                <w:sz w:val="22"/>
                <w:szCs w:val="22"/>
              </w:rPr>
              <w:t>Small (based on average group size)</w:t>
            </w:r>
          </w:p>
        </w:tc>
        <w:tc>
          <w:tcPr>
            <w:tcW w:w="1422" w:type="pct"/>
          </w:tcPr>
          <w:p w:rsidR="002965AD" w:rsidRDefault="00561E51" w:rsidP="0081249F">
            <w:pPr>
              <w:rPr>
                <w:sz w:val="22"/>
                <w:szCs w:val="22"/>
              </w:rPr>
            </w:pPr>
            <w:r>
              <w:rPr>
                <w:sz w:val="22"/>
                <w:szCs w:val="22"/>
              </w:rPr>
              <w:t>October 2021</w:t>
            </w:r>
            <w:r w:rsidR="00D91643">
              <w:rPr>
                <w:sz w:val="22"/>
                <w:szCs w:val="22"/>
              </w:rPr>
              <w:t xml:space="preserve"> </w:t>
            </w:r>
            <w:r w:rsidR="00D91643" w:rsidRPr="00D91643">
              <w:rPr>
                <w:sz w:val="22"/>
                <w:szCs w:val="22"/>
              </w:rPr>
              <w:t>census, Get information about schools (GIAS)</w:t>
            </w:r>
            <w:r w:rsidR="0081249F">
              <w:rPr>
                <w:sz w:val="22"/>
                <w:szCs w:val="22"/>
              </w:rPr>
              <w:t>,</w:t>
            </w:r>
            <w:r w:rsidR="0081249F" w:rsidRPr="0081249F">
              <w:rPr>
                <w:sz w:val="22"/>
                <w:szCs w:val="22"/>
              </w:rPr>
              <w:t>Ordnance Survey, Office for National Statistics</w:t>
            </w:r>
          </w:p>
        </w:tc>
        <w:tc>
          <w:tcPr>
            <w:tcW w:w="711" w:type="pct"/>
            <w:shd w:val="clear" w:color="auto" w:fill="CCCCFF"/>
          </w:tcPr>
          <w:p w:rsidR="00D91643" w:rsidRDefault="00D91643" w:rsidP="009B4BB2">
            <w:pPr>
              <w:jc w:val="center"/>
              <w:rPr>
                <w:rFonts w:ascii="Calibri" w:hAnsi="Calibri" w:cs="Calibri"/>
                <w:sz w:val="22"/>
                <w:szCs w:val="22"/>
              </w:rPr>
            </w:pPr>
          </w:p>
          <w:p w:rsidR="00D91643" w:rsidRDefault="00D91643" w:rsidP="009B4BB2">
            <w:pPr>
              <w:jc w:val="center"/>
              <w:rPr>
                <w:rFonts w:ascii="Calibri" w:hAnsi="Calibri" w:cs="Calibri"/>
                <w:sz w:val="22"/>
                <w:szCs w:val="22"/>
              </w:rPr>
            </w:pPr>
          </w:p>
          <w:p w:rsidR="00D91643" w:rsidRDefault="00D91643" w:rsidP="009B4BB2">
            <w:pPr>
              <w:jc w:val="center"/>
              <w:rPr>
                <w:rFonts w:ascii="Calibri" w:hAnsi="Calibri" w:cs="Calibri"/>
                <w:sz w:val="22"/>
                <w:szCs w:val="22"/>
              </w:rPr>
            </w:pPr>
          </w:p>
          <w:p w:rsidR="002965AD" w:rsidRDefault="003143E1" w:rsidP="009B4BB2">
            <w:pPr>
              <w:jc w:val="center"/>
              <w:rPr>
                <w:rFonts w:ascii="Calibri" w:hAnsi="Calibri" w:cs="Calibri"/>
                <w:sz w:val="22"/>
                <w:szCs w:val="22"/>
              </w:rPr>
            </w:pPr>
            <w:r>
              <w:rPr>
                <w:rFonts w:ascii="Calibri" w:hAnsi="Calibri" w:cs="Calibri"/>
                <w:sz w:val="22"/>
                <w:szCs w:val="22"/>
              </w:rPr>
              <w:t>£45,529</w:t>
            </w:r>
          </w:p>
          <w:p w:rsidR="00D91643" w:rsidRPr="009B4BB2" w:rsidRDefault="00D91643" w:rsidP="009B4BB2">
            <w:pPr>
              <w:jc w:val="center"/>
              <w:rPr>
                <w:rFonts w:ascii="Calibri" w:hAnsi="Calibri" w:cs="Calibri"/>
                <w:sz w:val="22"/>
                <w:szCs w:val="22"/>
              </w:rPr>
            </w:pPr>
          </w:p>
        </w:tc>
        <w:tc>
          <w:tcPr>
            <w:tcW w:w="751" w:type="pct"/>
            <w:shd w:val="clear" w:color="auto" w:fill="CCCCFF"/>
          </w:tcPr>
          <w:p w:rsidR="00D91643" w:rsidRDefault="00D91643" w:rsidP="009B4BB2">
            <w:pPr>
              <w:jc w:val="center"/>
              <w:rPr>
                <w:rFonts w:ascii="Calibri" w:hAnsi="Calibri" w:cs="Calibri"/>
                <w:sz w:val="22"/>
                <w:szCs w:val="22"/>
              </w:rPr>
            </w:pPr>
          </w:p>
          <w:p w:rsidR="00D91643" w:rsidRDefault="00D91643" w:rsidP="009B4BB2">
            <w:pPr>
              <w:jc w:val="center"/>
              <w:rPr>
                <w:rFonts w:ascii="Calibri" w:hAnsi="Calibri" w:cs="Calibri"/>
                <w:sz w:val="22"/>
                <w:szCs w:val="22"/>
              </w:rPr>
            </w:pPr>
          </w:p>
          <w:p w:rsidR="00D91643" w:rsidRDefault="00D91643" w:rsidP="009B4BB2">
            <w:pPr>
              <w:jc w:val="center"/>
              <w:rPr>
                <w:rFonts w:ascii="Calibri" w:hAnsi="Calibri" w:cs="Calibri"/>
                <w:sz w:val="22"/>
                <w:szCs w:val="22"/>
              </w:rPr>
            </w:pPr>
          </w:p>
          <w:p w:rsidR="002965AD" w:rsidRDefault="003143E1" w:rsidP="009B4BB2">
            <w:pPr>
              <w:jc w:val="center"/>
              <w:rPr>
                <w:rFonts w:ascii="Calibri" w:hAnsi="Calibri" w:cs="Calibri"/>
                <w:sz w:val="22"/>
                <w:szCs w:val="22"/>
              </w:rPr>
            </w:pPr>
            <w:r>
              <w:rPr>
                <w:rFonts w:ascii="Calibri" w:hAnsi="Calibri" w:cs="Calibri"/>
                <w:sz w:val="22"/>
                <w:szCs w:val="22"/>
              </w:rPr>
              <w:t>£66,224</w:t>
            </w:r>
          </w:p>
          <w:p w:rsidR="00D91643" w:rsidRPr="009B4BB2" w:rsidRDefault="00D91643" w:rsidP="009B4BB2">
            <w:pPr>
              <w:jc w:val="center"/>
              <w:rPr>
                <w:rFonts w:ascii="Calibri" w:hAnsi="Calibri" w:cs="Calibri"/>
                <w:sz w:val="22"/>
                <w:szCs w:val="22"/>
              </w:rPr>
            </w:pPr>
          </w:p>
        </w:tc>
      </w:tr>
      <w:tr w:rsidR="002965AD" w:rsidTr="009766D1">
        <w:tc>
          <w:tcPr>
            <w:tcW w:w="805" w:type="pct"/>
          </w:tcPr>
          <w:p w:rsidR="002965AD" w:rsidRDefault="00B17175" w:rsidP="002965AD">
            <w:pPr>
              <w:rPr>
                <w:sz w:val="22"/>
                <w:szCs w:val="22"/>
              </w:rPr>
            </w:pPr>
            <w:r>
              <w:rPr>
                <w:sz w:val="22"/>
                <w:szCs w:val="22"/>
              </w:rPr>
              <w:t xml:space="preserve">11) </w:t>
            </w:r>
            <w:r w:rsidRPr="0081249F">
              <w:rPr>
                <w:sz w:val="22"/>
                <w:szCs w:val="22"/>
              </w:rPr>
              <w:t>Rates</w:t>
            </w:r>
          </w:p>
          <w:p w:rsidR="00B17175" w:rsidRPr="00F81194" w:rsidRDefault="00B17175" w:rsidP="002965AD">
            <w:pPr>
              <w:rPr>
                <w:sz w:val="22"/>
                <w:szCs w:val="22"/>
              </w:rPr>
            </w:pPr>
            <w:r w:rsidRPr="00546492">
              <w:rPr>
                <w:color w:val="7F7F7F"/>
                <w:sz w:val="22"/>
                <w:szCs w:val="22"/>
              </w:rPr>
              <w:t>An optional factor</w:t>
            </w:r>
          </w:p>
        </w:tc>
        <w:tc>
          <w:tcPr>
            <w:tcW w:w="1311" w:type="pct"/>
          </w:tcPr>
          <w:p w:rsidR="002965AD" w:rsidRPr="00F81194" w:rsidRDefault="00500964" w:rsidP="0081249F">
            <w:pPr>
              <w:rPr>
                <w:sz w:val="22"/>
                <w:szCs w:val="22"/>
              </w:rPr>
            </w:pPr>
            <w:r>
              <w:rPr>
                <w:sz w:val="22"/>
                <w:szCs w:val="22"/>
              </w:rPr>
              <w:t>Business r</w:t>
            </w:r>
            <w:r w:rsidR="00B17175">
              <w:rPr>
                <w:sz w:val="22"/>
                <w:szCs w:val="22"/>
              </w:rPr>
              <w:t>ates</w:t>
            </w:r>
            <w:r w:rsidR="00713D89">
              <w:rPr>
                <w:sz w:val="22"/>
                <w:szCs w:val="22"/>
              </w:rPr>
              <w:t xml:space="preserve"> are</w:t>
            </w:r>
            <w:r w:rsidR="00B17175">
              <w:rPr>
                <w:sz w:val="22"/>
                <w:szCs w:val="22"/>
              </w:rPr>
              <w:t xml:space="preserve"> funded at an estimate of their actual cost. </w:t>
            </w:r>
          </w:p>
        </w:tc>
        <w:tc>
          <w:tcPr>
            <w:tcW w:w="1422" w:type="pct"/>
          </w:tcPr>
          <w:p w:rsidR="00B17175" w:rsidRPr="00B17175" w:rsidRDefault="00B17175" w:rsidP="00B17175">
            <w:pPr>
              <w:rPr>
                <w:sz w:val="22"/>
                <w:szCs w:val="22"/>
              </w:rPr>
            </w:pPr>
            <w:r w:rsidRPr="00B17175">
              <w:rPr>
                <w:sz w:val="22"/>
                <w:szCs w:val="22"/>
              </w:rPr>
              <w:t>Based on rateable value set by the Valuation Office</w:t>
            </w:r>
          </w:p>
          <w:p w:rsidR="002965AD" w:rsidRDefault="00B17175" w:rsidP="00B17175">
            <w:pPr>
              <w:rPr>
                <w:sz w:val="22"/>
                <w:szCs w:val="22"/>
              </w:rPr>
            </w:pPr>
            <w:r w:rsidRPr="00B17175">
              <w:rPr>
                <w:sz w:val="22"/>
                <w:szCs w:val="22"/>
              </w:rPr>
              <w:t>Agency</w:t>
            </w:r>
          </w:p>
        </w:tc>
        <w:tc>
          <w:tcPr>
            <w:tcW w:w="711" w:type="pct"/>
            <w:shd w:val="clear" w:color="auto" w:fill="F2F2F2" w:themeFill="background1" w:themeFillShade="F2"/>
          </w:tcPr>
          <w:p w:rsidR="002965AD" w:rsidRPr="009B4BB2" w:rsidRDefault="002965AD" w:rsidP="009B4BB2">
            <w:pPr>
              <w:jc w:val="center"/>
              <w:rPr>
                <w:rFonts w:ascii="Calibri" w:hAnsi="Calibri" w:cs="Calibri"/>
                <w:sz w:val="22"/>
                <w:szCs w:val="22"/>
              </w:rPr>
            </w:pPr>
          </w:p>
        </w:tc>
        <w:tc>
          <w:tcPr>
            <w:tcW w:w="751" w:type="pct"/>
            <w:shd w:val="clear" w:color="auto" w:fill="F2F2F2" w:themeFill="background1" w:themeFillShade="F2"/>
          </w:tcPr>
          <w:p w:rsidR="002965AD" w:rsidRPr="009B4BB2" w:rsidRDefault="002965AD" w:rsidP="009B4BB2">
            <w:pPr>
              <w:jc w:val="center"/>
              <w:rPr>
                <w:rFonts w:ascii="Calibri" w:hAnsi="Calibri" w:cs="Calibri"/>
                <w:sz w:val="22"/>
                <w:szCs w:val="22"/>
              </w:rPr>
            </w:pPr>
          </w:p>
        </w:tc>
      </w:tr>
      <w:tr w:rsidR="00B17175" w:rsidTr="009766D1">
        <w:tc>
          <w:tcPr>
            <w:tcW w:w="805" w:type="pct"/>
          </w:tcPr>
          <w:p w:rsidR="00B17175" w:rsidRDefault="00233AF9" w:rsidP="00233AF9">
            <w:pPr>
              <w:rPr>
                <w:sz w:val="22"/>
                <w:szCs w:val="22"/>
              </w:rPr>
            </w:pPr>
            <w:r>
              <w:rPr>
                <w:sz w:val="22"/>
                <w:szCs w:val="22"/>
              </w:rPr>
              <w:t>14</w:t>
            </w:r>
            <w:r w:rsidR="00B17175">
              <w:rPr>
                <w:sz w:val="22"/>
                <w:szCs w:val="22"/>
              </w:rPr>
              <w:t xml:space="preserve">) </w:t>
            </w:r>
            <w:r>
              <w:rPr>
                <w:sz w:val="22"/>
                <w:szCs w:val="22"/>
              </w:rPr>
              <w:t>Minimum per pupil funding</w:t>
            </w:r>
            <w:r w:rsidR="00FB0DEC">
              <w:rPr>
                <w:sz w:val="22"/>
                <w:szCs w:val="22"/>
              </w:rPr>
              <w:t xml:space="preserve"> </w:t>
            </w:r>
            <w:r w:rsidR="00950AE5">
              <w:rPr>
                <w:sz w:val="22"/>
                <w:szCs w:val="22"/>
              </w:rPr>
              <w:t>level (MPPL</w:t>
            </w:r>
            <w:r w:rsidR="00FB0DEC">
              <w:rPr>
                <w:sz w:val="22"/>
                <w:szCs w:val="22"/>
              </w:rPr>
              <w:t>)</w:t>
            </w:r>
          </w:p>
          <w:p w:rsidR="00233AF9" w:rsidRPr="00F81194" w:rsidRDefault="00233AF9" w:rsidP="00233AF9">
            <w:pPr>
              <w:rPr>
                <w:sz w:val="22"/>
                <w:szCs w:val="22"/>
              </w:rPr>
            </w:pPr>
            <w:r w:rsidRPr="00233AF9">
              <w:rPr>
                <w:color w:val="7F7F7F"/>
                <w:sz w:val="22"/>
                <w:szCs w:val="22"/>
              </w:rPr>
              <w:t>A compulsory factor</w:t>
            </w:r>
          </w:p>
        </w:tc>
        <w:tc>
          <w:tcPr>
            <w:tcW w:w="2733" w:type="pct"/>
            <w:gridSpan w:val="2"/>
          </w:tcPr>
          <w:p w:rsidR="00450FE9" w:rsidRDefault="00233AF9" w:rsidP="00450FE9">
            <w:pPr>
              <w:rPr>
                <w:sz w:val="22"/>
                <w:szCs w:val="22"/>
              </w:rPr>
            </w:pPr>
            <w:r>
              <w:rPr>
                <w:sz w:val="22"/>
                <w:szCs w:val="22"/>
              </w:rPr>
              <w:t xml:space="preserve">A </w:t>
            </w:r>
            <w:r w:rsidRPr="00233AF9">
              <w:rPr>
                <w:sz w:val="22"/>
                <w:szCs w:val="22"/>
              </w:rPr>
              <w:t>mi</w:t>
            </w:r>
            <w:r w:rsidR="00450FE9">
              <w:rPr>
                <w:sz w:val="22"/>
                <w:szCs w:val="22"/>
              </w:rPr>
              <w:t xml:space="preserve">nimum per pupil level for both primary and secondary schools is set by the DfE. Additional funding </w:t>
            </w:r>
            <w:r w:rsidR="00950AE5">
              <w:rPr>
                <w:sz w:val="22"/>
                <w:szCs w:val="22"/>
              </w:rPr>
              <w:t>may be required to meet the MPPl</w:t>
            </w:r>
            <w:r w:rsidR="00450FE9">
              <w:rPr>
                <w:sz w:val="22"/>
                <w:szCs w:val="22"/>
              </w:rPr>
              <w:t>.</w:t>
            </w:r>
          </w:p>
          <w:p w:rsidR="00B17175" w:rsidRDefault="00624695" w:rsidP="00450FE9">
            <w:pPr>
              <w:rPr>
                <w:sz w:val="22"/>
                <w:szCs w:val="22"/>
              </w:rPr>
            </w:pPr>
            <w:r>
              <w:rPr>
                <w:sz w:val="22"/>
                <w:szCs w:val="22"/>
              </w:rPr>
              <w:t>The only factor</w:t>
            </w:r>
            <w:r w:rsidR="00233AF9" w:rsidRPr="00233AF9">
              <w:rPr>
                <w:sz w:val="22"/>
                <w:szCs w:val="22"/>
              </w:rPr>
              <w:t xml:space="preserve"> </w:t>
            </w:r>
            <w:r w:rsidR="00450FE9">
              <w:rPr>
                <w:sz w:val="22"/>
                <w:szCs w:val="22"/>
              </w:rPr>
              <w:t xml:space="preserve">excluded </w:t>
            </w:r>
            <w:r w:rsidR="00233AF9" w:rsidRPr="00233AF9">
              <w:rPr>
                <w:sz w:val="22"/>
                <w:szCs w:val="22"/>
              </w:rPr>
              <w:t>in per-pupil fund</w:t>
            </w:r>
            <w:r w:rsidR="00FB0DEC">
              <w:rPr>
                <w:sz w:val="22"/>
                <w:szCs w:val="22"/>
              </w:rPr>
              <w:t xml:space="preserve">ing for the purpose of the MPPF </w:t>
            </w:r>
            <w:r w:rsidR="00450FE9">
              <w:rPr>
                <w:sz w:val="22"/>
                <w:szCs w:val="22"/>
              </w:rPr>
              <w:t>calculation is</w:t>
            </w:r>
            <w:r w:rsidR="00233AF9" w:rsidRPr="00233AF9">
              <w:rPr>
                <w:sz w:val="22"/>
                <w:szCs w:val="22"/>
              </w:rPr>
              <w:t xml:space="preserve"> </w:t>
            </w:r>
            <w:r w:rsidR="009766D1">
              <w:rPr>
                <w:sz w:val="22"/>
                <w:szCs w:val="22"/>
              </w:rPr>
              <w:t>business rates</w:t>
            </w:r>
            <w:r w:rsidR="003A4F7E">
              <w:rPr>
                <w:sz w:val="22"/>
                <w:szCs w:val="22"/>
              </w:rPr>
              <w:t>.</w:t>
            </w:r>
          </w:p>
        </w:tc>
        <w:tc>
          <w:tcPr>
            <w:tcW w:w="711" w:type="pct"/>
            <w:shd w:val="clear" w:color="auto" w:fill="CCCCFF"/>
          </w:tcPr>
          <w:p w:rsidR="003143E1" w:rsidRDefault="003143E1" w:rsidP="009B4BB2">
            <w:pPr>
              <w:jc w:val="center"/>
              <w:rPr>
                <w:rFonts w:ascii="Calibri" w:hAnsi="Calibri" w:cs="Calibri"/>
                <w:sz w:val="22"/>
                <w:szCs w:val="22"/>
              </w:rPr>
            </w:pPr>
          </w:p>
          <w:p w:rsidR="003143E1" w:rsidRDefault="003143E1" w:rsidP="009B4BB2">
            <w:pPr>
              <w:jc w:val="center"/>
              <w:rPr>
                <w:rFonts w:ascii="Calibri" w:hAnsi="Calibri" w:cs="Calibri"/>
                <w:sz w:val="22"/>
                <w:szCs w:val="22"/>
              </w:rPr>
            </w:pPr>
          </w:p>
          <w:p w:rsidR="00B17175" w:rsidRPr="009B4BB2" w:rsidRDefault="00BB08EC" w:rsidP="009B4BB2">
            <w:pPr>
              <w:jc w:val="center"/>
              <w:rPr>
                <w:rFonts w:ascii="Calibri" w:hAnsi="Calibri" w:cs="Calibri"/>
                <w:sz w:val="22"/>
                <w:szCs w:val="22"/>
              </w:rPr>
            </w:pPr>
            <w:r>
              <w:rPr>
                <w:rFonts w:ascii="Calibri" w:hAnsi="Calibri" w:cs="Calibri"/>
                <w:sz w:val="22"/>
                <w:szCs w:val="22"/>
              </w:rPr>
              <w:t>£4</w:t>
            </w:r>
            <w:r w:rsidR="007F748E">
              <w:rPr>
                <w:rFonts w:ascii="Calibri" w:hAnsi="Calibri" w:cs="Calibri"/>
                <w:sz w:val="22"/>
                <w:szCs w:val="22"/>
              </w:rPr>
              <w:t>,</w:t>
            </w:r>
            <w:r w:rsidR="00950AE5">
              <w:rPr>
                <w:rFonts w:ascii="Calibri" w:hAnsi="Calibri" w:cs="Calibri"/>
                <w:sz w:val="22"/>
                <w:szCs w:val="22"/>
              </w:rPr>
              <w:t>265</w:t>
            </w:r>
          </w:p>
        </w:tc>
        <w:tc>
          <w:tcPr>
            <w:tcW w:w="751" w:type="pct"/>
            <w:shd w:val="clear" w:color="auto" w:fill="CCCCFF"/>
          </w:tcPr>
          <w:p w:rsidR="003143E1" w:rsidRDefault="003143E1" w:rsidP="009B4BB2">
            <w:pPr>
              <w:jc w:val="center"/>
              <w:rPr>
                <w:rFonts w:ascii="Calibri" w:hAnsi="Calibri" w:cs="Calibri"/>
                <w:sz w:val="22"/>
                <w:szCs w:val="22"/>
              </w:rPr>
            </w:pPr>
          </w:p>
          <w:p w:rsidR="003143E1" w:rsidRDefault="003143E1" w:rsidP="009B4BB2">
            <w:pPr>
              <w:jc w:val="center"/>
              <w:rPr>
                <w:rFonts w:ascii="Calibri" w:hAnsi="Calibri" w:cs="Calibri"/>
                <w:sz w:val="22"/>
                <w:szCs w:val="22"/>
              </w:rPr>
            </w:pPr>
          </w:p>
          <w:p w:rsidR="00B17175" w:rsidRPr="009B4BB2" w:rsidRDefault="00BB08EC" w:rsidP="009B4BB2">
            <w:pPr>
              <w:jc w:val="center"/>
              <w:rPr>
                <w:rFonts w:ascii="Calibri" w:hAnsi="Calibri" w:cs="Calibri"/>
                <w:sz w:val="22"/>
                <w:szCs w:val="22"/>
              </w:rPr>
            </w:pPr>
            <w:r>
              <w:rPr>
                <w:rFonts w:ascii="Calibri" w:hAnsi="Calibri" w:cs="Calibri"/>
                <w:sz w:val="22"/>
                <w:szCs w:val="22"/>
              </w:rPr>
              <w:t>£5</w:t>
            </w:r>
            <w:r w:rsidR="007F748E">
              <w:rPr>
                <w:rFonts w:ascii="Calibri" w:hAnsi="Calibri" w:cs="Calibri"/>
                <w:sz w:val="22"/>
                <w:szCs w:val="22"/>
              </w:rPr>
              <w:t>,</w:t>
            </w:r>
            <w:r w:rsidR="00950AE5">
              <w:rPr>
                <w:rFonts w:ascii="Calibri" w:hAnsi="Calibri" w:cs="Calibri"/>
                <w:sz w:val="22"/>
                <w:szCs w:val="22"/>
              </w:rPr>
              <w:t>525</w:t>
            </w:r>
          </w:p>
        </w:tc>
      </w:tr>
      <w:tr w:rsidR="00F80F45" w:rsidTr="00F80F45">
        <w:tc>
          <w:tcPr>
            <w:tcW w:w="805" w:type="pct"/>
          </w:tcPr>
          <w:p w:rsidR="00F80F45" w:rsidRDefault="00450FE9" w:rsidP="00233AF9">
            <w:pPr>
              <w:rPr>
                <w:sz w:val="22"/>
                <w:szCs w:val="22"/>
              </w:rPr>
            </w:pPr>
            <w:r>
              <w:rPr>
                <w:sz w:val="22"/>
                <w:szCs w:val="22"/>
              </w:rPr>
              <w:t xml:space="preserve">15) </w:t>
            </w:r>
            <w:r w:rsidR="00F80F45" w:rsidRPr="00FB0DEC">
              <w:rPr>
                <w:sz w:val="22"/>
                <w:szCs w:val="22"/>
              </w:rPr>
              <w:t>Minimum Funding Guarantee Budget (MFG)</w:t>
            </w:r>
          </w:p>
          <w:p w:rsidR="00F80F45" w:rsidRDefault="00F80F45" w:rsidP="00233AF9">
            <w:pPr>
              <w:rPr>
                <w:sz w:val="22"/>
                <w:szCs w:val="22"/>
              </w:rPr>
            </w:pPr>
            <w:r w:rsidRPr="00233AF9">
              <w:rPr>
                <w:color w:val="7F7F7F"/>
                <w:sz w:val="22"/>
                <w:szCs w:val="22"/>
              </w:rPr>
              <w:t>A compulsory factor</w:t>
            </w:r>
          </w:p>
        </w:tc>
        <w:tc>
          <w:tcPr>
            <w:tcW w:w="4195" w:type="pct"/>
            <w:gridSpan w:val="4"/>
          </w:tcPr>
          <w:p w:rsidR="00F80F45" w:rsidRDefault="00450FE9" w:rsidP="00F80F45">
            <w:pPr>
              <w:rPr>
                <w:sz w:val="22"/>
                <w:szCs w:val="22"/>
              </w:rPr>
            </w:pPr>
            <w:r>
              <w:rPr>
                <w:sz w:val="22"/>
                <w:szCs w:val="22"/>
              </w:rPr>
              <w:t>The MFG is a protection against changes i</w:t>
            </w:r>
            <w:r w:rsidR="00523AD8">
              <w:rPr>
                <w:sz w:val="22"/>
                <w:szCs w:val="22"/>
              </w:rPr>
              <w:t>n per pupil funding between 2021-22 and 2022-23</w:t>
            </w:r>
            <w:r>
              <w:rPr>
                <w:sz w:val="22"/>
                <w:szCs w:val="22"/>
              </w:rPr>
              <w:t xml:space="preserve">. </w:t>
            </w:r>
            <w:r w:rsidR="00F80F45">
              <w:rPr>
                <w:sz w:val="22"/>
                <w:szCs w:val="22"/>
              </w:rPr>
              <w:t xml:space="preserve">The </w:t>
            </w:r>
            <w:r w:rsidR="00F80F45" w:rsidRPr="00FB0DEC">
              <w:rPr>
                <w:sz w:val="22"/>
                <w:szCs w:val="22"/>
              </w:rPr>
              <w:t>MFG</w:t>
            </w:r>
            <w:r>
              <w:rPr>
                <w:sz w:val="22"/>
                <w:szCs w:val="22"/>
              </w:rPr>
              <w:t xml:space="preserve"> for 202</w:t>
            </w:r>
            <w:r w:rsidR="00523AD8">
              <w:rPr>
                <w:sz w:val="22"/>
                <w:szCs w:val="22"/>
              </w:rPr>
              <w:t>2-23</w:t>
            </w:r>
            <w:r w:rsidR="00F80F45" w:rsidRPr="00FB0DEC">
              <w:rPr>
                <w:sz w:val="22"/>
                <w:szCs w:val="22"/>
              </w:rPr>
              <w:t xml:space="preserve"> </w:t>
            </w:r>
            <w:r w:rsidR="00F80F45">
              <w:rPr>
                <w:sz w:val="22"/>
                <w:szCs w:val="22"/>
              </w:rPr>
              <w:t xml:space="preserve">is </w:t>
            </w:r>
            <w:r w:rsidR="00F80F45" w:rsidRPr="003143E1">
              <w:rPr>
                <w:sz w:val="22"/>
                <w:szCs w:val="22"/>
              </w:rPr>
              <w:t>+2.0%</w:t>
            </w:r>
            <w:r w:rsidR="00F80F45" w:rsidRPr="00FB0DEC">
              <w:rPr>
                <w:sz w:val="22"/>
                <w:szCs w:val="22"/>
              </w:rPr>
              <w:t xml:space="preserve"> per pupil.</w:t>
            </w:r>
          </w:p>
          <w:p w:rsidR="00F80F45" w:rsidRDefault="00F80F45" w:rsidP="00F80F45">
            <w:pPr>
              <w:rPr>
                <w:sz w:val="22"/>
                <w:szCs w:val="22"/>
              </w:rPr>
            </w:pPr>
            <w:r>
              <w:rPr>
                <w:sz w:val="22"/>
                <w:szCs w:val="22"/>
              </w:rPr>
              <w:t>An MFG baseline value per pupil</w:t>
            </w:r>
            <w:r w:rsidR="00FE3EFD">
              <w:t xml:space="preserve"> </w:t>
            </w:r>
            <w:r w:rsidR="00FE3EFD" w:rsidRPr="00FE3EFD">
              <w:rPr>
                <w:sz w:val="22"/>
                <w:szCs w:val="22"/>
              </w:rPr>
              <w:t xml:space="preserve">and an MFG protected value per pupil </w:t>
            </w:r>
            <w:r w:rsidR="00FE3EFD" w:rsidRPr="003143E1">
              <w:rPr>
                <w:sz w:val="22"/>
                <w:szCs w:val="22"/>
              </w:rPr>
              <w:t>(+2%)</w:t>
            </w:r>
            <w:r w:rsidR="00FE3EFD" w:rsidRPr="00FE3EFD">
              <w:rPr>
                <w:sz w:val="22"/>
                <w:szCs w:val="22"/>
              </w:rPr>
              <w:t xml:space="preserve"> </w:t>
            </w:r>
            <w:r w:rsidR="00523AD8">
              <w:rPr>
                <w:sz w:val="22"/>
                <w:szCs w:val="22"/>
              </w:rPr>
              <w:t>is calculated for 2021-22</w:t>
            </w:r>
            <w:r>
              <w:rPr>
                <w:sz w:val="22"/>
                <w:szCs w:val="22"/>
              </w:rPr>
              <w:t>. This is compared to the</w:t>
            </w:r>
            <w:r w:rsidR="00523AD8">
              <w:rPr>
                <w:sz w:val="22"/>
                <w:szCs w:val="22"/>
              </w:rPr>
              <w:t xml:space="preserve"> base funding per pupil for 2022-23</w:t>
            </w:r>
            <w:r>
              <w:rPr>
                <w:sz w:val="22"/>
                <w:szCs w:val="22"/>
              </w:rPr>
              <w:t xml:space="preserve">. </w:t>
            </w:r>
          </w:p>
          <w:p w:rsidR="0081249F" w:rsidRDefault="0081249F" w:rsidP="00F80F45">
            <w:pPr>
              <w:rPr>
                <w:sz w:val="22"/>
                <w:szCs w:val="22"/>
              </w:rPr>
            </w:pPr>
          </w:p>
          <w:p w:rsidR="00F80F45" w:rsidRDefault="00F80F45" w:rsidP="00FE3EFD">
            <w:pPr>
              <w:rPr>
                <w:rFonts w:ascii="Calibri" w:hAnsi="Calibri" w:cs="Calibri"/>
                <w:sz w:val="22"/>
                <w:szCs w:val="22"/>
              </w:rPr>
            </w:pPr>
            <w:r>
              <w:rPr>
                <w:sz w:val="22"/>
                <w:szCs w:val="22"/>
              </w:rPr>
              <w:t>An MFG adjustment results if the</w:t>
            </w:r>
            <w:r w:rsidR="00523AD8">
              <w:rPr>
                <w:sz w:val="22"/>
                <w:szCs w:val="22"/>
              </w:rPr>
              <w:t xml:space="preserve"> base funding per pupil for 2022-23</w:t>
            </w:r>
            <w:r>
              <w:rPr>
                <w:sz w:val="22"/>
                <w:szCs w:val="22"/>
              </w:rPr>
              <w:t xml:space="preserve"> is less than </w:t>
            </w:r>
            <w:r w:rsidR="00FE3EFD">
              <w:rPr>
                <w:sz w:val="22"/>
                <w:szCs w:val="22"/>
              </w:rPr>
              <w:t xml:space="preserve">the </w:t>
            </w:r>
            <w:r w:rsidR="00FE3EFD" w:rsidRPr="00FE3EFD">
              <w:rPr>
                <w:sz w:val="22"/>
                <w:szCs w:val="22"/>
              </w:rPr>
              <w:t>MFG protected value per pupil</w:t>
            </w:r>
            <w:r w:rsidR="00FE3EFD">
              <w:rPr>
                <w:sz w:val="22"/>
                <w:szCs w:val="22"/>
              </w:rPr>
              <w:t>.</w:t>
            </w:r>
          </w:p>
        </w:tc>
      </w:tr>
      <w:tr w:rsidR="0050681F" w:rsidTr="00F80F45">
        <w:tc>
          <w:tcPr>
            <w:tcW w:w="805" w:type="pct"/>
          </w:tcPr>
          <w:p w:rsidR="0050681F" w:rsidRPr="0050681F" w:rsidRDefault="0050681F" w:rsidP="00233AF9">
            <w:pPr>
              <w:rPr>
                <w:b/>
                <w:sz w:val="22"/>
                <w:szCs w:val="22"/>
              </w:rPr>
            </w:pPr>
            <w:r w:rsidRPr="0050681F">
              <w:rPr>
                <w:b/>
                <w:sz w:val="22"/>
                <w:szCs w:val="22"/>
              </w:rPr>
              <w:t>Total Funding for Schools Block Formula</w:t>
            </w:r>
          </w:p>
        </w:tc>
        <w:tc>
          <w:tcPr>
            <w:tcW w:w="4195" w:type="pct"/>
            <w:gridSpan w:val="4"/>
          </w:tcPr>
          <w:p w:rsidR="0050681F" w:rsidRDefault="0050681F" w:rsidP="0050681F">
            <w:pPr>
              <w:rPr>
                <w:sz w:val="22"/>
                <w:szCs w:val="22"/>
              </w:rPr>
            </w:pPr>
          </w:p>
          <w:p w:rsidR="0050681F" w:rsidRDefault="0050681F" w:rsidP="0050681F">
            <w:pPr>
              <w:rPr>
                <w:sz w:val="22"/>
                <w:szCs w:val="22"/>
              </w:rPr>
            </w:pPr>
            <w:r w:rsidRPr="0050681F">
              <w:rPr>
                <w:sz w:val="22"/>
                <w:szCs w:val="22"/>
              </w:rPr>
              <w:t xml:space="preserve">This is the </w:t>
            </w:r>
            <w:r>
              <w:rPr>
                <w:sz w:val="22"/>
                <w:szCs w:val="22"/>
              </w:rPr>
              <w:t xml:space="preserve">total </w:t>
            </w:r>
            <w:r w:rsidRPr="0050681F">
              <w:rPr>
                <w:sz w:val="22"/>
                <w:szCs w:val="22"/>
              </w:rPr>
              <w:t>funding after appl</w:t>
            </w:r>
            <w:r>
              <w:rPr>
                <w:sz w:val="22"/>
                <w:szCs w:val="22"/>
              </w:rPr>
              <w:t>ying minimum per pupil funding and the MFG %</w:t>
            </w:r>
          </w:p>
        </w:tc>
      </w:tr>
    </w:tbl>
    <w:p w:rsidR="00F2386A" w:rsidRDefault="00F2386A" w:rsidP="00F2386A"/>
    <w:p w:rsidR="00713D89" w:rsidRDefault="00713D89" w:rsidP="00F2386A">
      <w:r w:rsidRPr="0002789B">
        <w:rPr>
          <w:b/>
        </w:rPr>
        <w:t>De-delegation</w:t>
      </w:r>
      <w:r>
        <w:t xml:space="preserve"> (applies to maintained schools only)</w:t>
      </w:r>
    </w:p>
    <w:p w:rsidR="00D2316B" w:rsidRDefault="00D2316B" w:rsidP="00F2386A"/>
    <w:p w:rsidR="00D2316B" w:rsidRDefault="00D2316B" w:rsidP="00F2386A">
      <w:r w:rsidRPr="008E652C">
        <w:rPr>
          <w:rFonts w:cs="Arial"/>
        </w:rPr>
        <w:t>The de-delegations are agreed annually by the Schools’ Forum. The sum of these de-delegations are deducted from each school’s formula funding at the rates specified.</w:t>
      </w:r>
    </w:p>
    <w:p w:rsidR="00713D89" w:rsidRDefault="00713D89" w:rsidP="00F2386A"/>
    <w:p w:rsidR="005B0151" w:rsidRDefault="005B0151" w:rsidP="00F2386A">
      <w:r w:rsidRPr="005B0151">
        <w:t>The de-delegation rates per pupil are as follows:</w:t>
      </w:r>
    </w:p>
    <w:p w:rsidR="00DE024F" w:rsidRDefault="00DE024F" w:rsidP="00F2386A"/>
    <w:tbl>
      <w:tblPr>
        <w:tblStyle w:val="TableGrid"/>
        <w:tblW w:w="0" w:type="auto"/>
        <w:tblLook w:val="04A0" w:firstRow="1" w:lastRow="0" w:firstColumn="1" w:lastColumn="0" w:noHBand="0" w:noVBand="1"/>
      </w:tblPr>
      <w:tblGrid>
        <w:gridCol w:w="6204"/>
        <w:gridCol w:w="1842"/>
        <w:gridCol w:w="1923"/>
      </w:tblGrid>
      <w:tr w:rsidR="00DE024F" w:rsidTr="00D2316B">
        <w:tc>
          <w:tcPr>
            <w:tcW w:w="6204" w:type="dxa"/>
          </w:tcPr>
          <w:p w:rsidR="00DE024F" w:rsidRDefault="00DE024F" w:rsidP="00F2386A">
            <w:r>
              <w:t>Description</w:t>
            </w:r>
          </w:p>
          <w:p w:rsidR="00D2316B" w:rsidRDefault="00D2316B" w:rsidP="00F2386A"/>
        </w:tc>
        <w:tc>
          <w:tcPr>
            <w:tcW w:w="1842" w:type="dxa"/>
          </w:tcPr>
          <w:p w:rsidR="00DE024F" w:rsidRDefault="00DE024F" w:rsidP="00F2386A">
            <w:r>
              <w:t>Primary</w:t>
            </w:r>
          </w:p>
        </w:tc>
        <w:tc>
          <w:tcPr>
            <w:tcW w:w="1923" w:type="dxa"/>
          </w:tcPr>
          <w:p w:rsidR="00DE024F" w:rsidRDefault="00DE024F" w:rsidP="00F2386A">
            <w:r>
              <w:t>Secondary</w:t>
            </w:r>
          </w:p>
        </w:tc>
      </w:tr>
      <w:tr w:rsidR="00DE024F" w:rsidTr="00D2316B">
        <w:tc>
          <w:tcPr>
            <w:tcW w:w="6204" w:type="dxa"/>
          </w:tcPr>
          <w:p w:rsidR="000835AC" w:rsidRDefault="000835AC" w:rsidP="00F2386A">
            <w:r w:rsidRPr="000835AC">
              <w:t>Schools in Financial Difficulty</w:t>
            </w:r>
          </w:p>
          <w:p w:rsidR="00DE024F" w:rsidRPr="002B08B5" w:rsidRDefault="000835AC" w:rsidP="00F2386A">
            <w:pPr>
              <w:rPr>
                <w:color w:val="7F7F7F" w:themeColor="text1" w:themeTint="80"/>
              </w:rPr>
            </w:pPr>
            <w:r w:rsidRPr="002B08B5">
              <w:rPr>
                <w:color w:val="7F7F7F" w:themeColor="text1" w:themeTint="80"/>
              </w:rPr>
              <w:t>(</w:t>
            </w:r>
            <w:r w:rsidR="00713D89" w:rsidRPr="002B08B5">
              <w:rPr>
                <w:color w:val="7F7F7F" w:themeColor="text1" w:themeTint="80"/>
              </w:rPr>
              <w:t>Contingencies</w:t>
            </w:r>
            <w:r w:rsidRPr="002B08B5">
              <w:rPr>
                <w:color w:val="7F7F7F" w:themeColor="text1" w:themeTint="80"/>
              </w:rPr>
              <w:t>)</w:t>
            </w:r>
          </w:p>
        </w:tc>
        <w:tc>
          <w:tcPr>
            <w:tcW w:w="1842" w:type="dxa"/>
          </w:tcPr>
          <w:p w:rsidR="00DE024F" w:rsidRDefault="00680450" w:rsidP="00F2386A">
            <w:r>
              <w:t>£2.63</w:t>
            </w:r>
          </w:p>
        </w:tc>
        <w:tc>
          <w:tcPr>
            <w:tcW w:w="1923" w:type="dxa"/>
          </w:tcPr>
          <w:p w:rsidR="00DE024F" w:rsidRDefault="00012B49" w:rsidP="00F2386A">
            <w:r>
              <w:t>N/A</w:t>
            </w:r>
          </w:p>
        </w:tc>
      </w:tr>
      <w:tr w:rsidR="00DE024F" w:rsidTr="00D2316B">
        <w:tc>
          <w:tcPr>
            <w:tcW w:w="6204" w:type="dxa"/>
          </w:tcPr>
          <w:p w:rsidR="00D2316B" w:rsidRDefault="00D2316B" w:rsidP="00F2386A">
            <w:r>
              <w:t>CLEAPPS</w:t>
            </w:r>
          </w:p>
          <w:p w:rsidR="00DE024F" w:rsidRDefault="00D2316B" w:rsidP="00F2386A">
            <w:r w:rsidRPr="00D2316B">
              <w:rPr>
                <w:color w:val="7F7F7F" w:themeColor="text1" w:themeTint="80"/>
              </w:rPr>
              <w:t>(</w:t>
            </w:r>
            <w:r w:rsidR="00713D89" w:rsidRPr="00D2316B">
              <w:rPr>
                <w:color w:val="7F7F7F" w:themeColor="text1" w:themeTint="80"/>
              </w:rPr>
              <w:t>Licences/subscription</w:t>
            </w:r>
            <w:r w:rsidRPr="00D2316B">
              <w:rPr>
                <w:color w:val="7F7F7F" w:themeColor="text1" w:themeTint="80"/>
              </w:rPr>
              <w:t>)</w:t>
            </w:r>
          </w:p>
        </w:tc>
        <w:tc>
          <w:tcPr>
            <w:tcW w:w="1842" w:type="dxa"/>
          </w:tcPr>
          <w:p w:rsidR="00DE024F" w:rsidRDefault="00570A9E" w:rsidP="00F2386A">
            <w:r>
              <w:t>£0.1</w:t>
            </w:r>
            <w:r w:rsidR="00680450">
              <w:t>7</w:t>
            </w:r>
          </w:p>
        </w:tc>
        <w:tc>
          <w:tcPr>
            <w:tcW w:w="1923" w:type="dxa"/>
          </w:tcPr>
          <w:p w:rsidR="00DE024F" w:rsidRDefault="00680450" w:rsidP="00F2386A">
            <w:r>
              <w:t>£0.17</w:t>
            </w:r>
            <w:r w:rsidR="00713D89">
              <w:t xml:space="preserve"> plus lump sum </w:t>
            </w:r>
            <w:r w:rsidR="00D2316B">
              <w:t xml:space="preserve">of </w:t>
            </w:r>
            <w:r w:rsidR="00713D89">
              <w:t>£235</w:t>
            </w:r>
          </w:p>
        </w:tc>
      </w:tr>
      <w:tr w:rsidR="00DE024F" w:rsidTr="00D2316B">
        <w:tc>
          <w:tcPr>
            <w:tcW w:w="6204" w:type="dxa"/>
          </w:tcPr>
          <w:p w:rsidR="0015328E" w:rsidRDefault="0015328E" w:rsidP="00F2386A">
            <w:r w:rsidRPr="0015328E">
              <w:t>Trade Union Representation</w:t>
            </w:r>
          </w:p>
          <w:p w:rsidR="00DE024F" w:rsidRDefault="0015328E" w:rsidP="00F2386A">
            <w:r w:rsidRPr="0015328E">
              <w:rPr>
                <w:color w:val="7F7F7F" w:themeColor="text1" w:themeTint="80"/>
              </w:rPr>
              <w:t>(</w:t>
            </w:r>
            <w:r w:rsidR="00012B49">
              <w:rPr>
                <w:color w:val="7F7F7F" w:themeColor="text1" w:themeTint="80"/>
              </w:rPr>
              <w:t>Staff c</w:t>
            </w:r>
            <w:r w:rsidR="00713D89" w:rsidRPr="0015328E">
              <w:rPr>
                <w:color w:val="7F7F7F" w:themeColor="text1" w:themeTint="80"/>
              </w:rPr>
              <w:t>osts supply cover</w:t>
            </w:r>
            <w:r w:rsidRPr="0015328E">
              <w:rPr>
                <w:color w:val="7F7F7F" w:themeColor="text1" w:themeTint="80"/>
              </w:rPr>
              <w:t>)</w:t>
            </w:r>
          </w:p>
        </w:tc>
        <w:tc>
          <w:tcPr>
            <w:tcW w:w="1842" w:type="dxa"/>
          </w:tcPr>
          <w:p w:rsidR="00DE024F" w:rsidRDefault="00680450" w:rsidP="00F2386A">
            <w:r>
              <w:t>£3.95</w:t>
            </w:r>
          </w:p>
        </w:tc>
        <w:tc>
          <w:tcPr>
            <w:tcW w:w="1923" w:type="dxa"/>
          </w:tcPr>
          <w:p w:rsidR="00DE024F" w:rsidRDefault="00680450" w:rsidP="00F2386A">
            <w:r>
              <w:t>£3.95</w:t>
            </w:r>
          </w:p>
        </w:tc>
      </w:tr>
      <w:tr w:rsidR="00DE024F" w:rsidTr="00D2316B">
        <w:tc>
          <w:tcPr>
            <w:tcW w:w="6204" w:type="dxa"/>
          </w:tcPr>
          <w:p w:rsidR="002B08B5" w:rsidRDefault="002B08B5" w:rsidP="00F2386A">
            <w:r w:rsidRPr="002B08B5">
              <w:t>Ethnic Minority and Traveller Achievement Service</w:t>
            </w:r>
          </w:p>
          <w:p w:rsidR="00DE024F" w:rsidRDefault="002B08B5" w:rsidP="00F2386A">
            <w:r w:rsidRPr="002B08B5">
              <w:rPr>
                <w:color w:val="7F7F7F" w:themeColor="text1" w:themeTint="80"/>
              </w:rPr>
              <w:t>(</w:t>
            </w:r>
            <w:r w:rsidR="00D119EE" w:rsidRPr="002B08B5">
              <w:rPr>
                <w:color w:val="7F7F7F" w:themeColor="text1" w:themeTint="80"/>
              </w:rPr>
              <w:t>Support to underperforming et</w:t>
            </w:r>
            <w:r w:rsidR="005B0151" w:rsidRPr="002B08B5">
              <w:rPr>
                <w:color w:val="7F7F7F" w:themeColor="text1" w:themeTint="80"/>
              </w:rPr>
              <w:t>h</w:t>
            </w:r>
            <w:r w:rsidR="00D119EE" w:rsidRPr="002B08B5">
              <w:rPr>
                <w:color w:val="7F7F7F" w:themeColor="text1" w:themeTint="80"/>
              </w:rPr>
              <w:t>nic minority groups</w:t>
            </w:r>
            <w:r w:rsidRPr="002B08B5">
              <w:rPr>
                <w:color w:val="7F7F7F" w:themeColor="text1" w:themeTint="80"/>
              </w:rPr>
              <w:t>)</w:t>
            </w:r>
          </w:p>
        </w:tc>
        <w:tc>
          <w:tcPr>
            <w:tcW w:w="1842" w:type="dxa"/>
          </w:tcPr>
          <w:p w:rsidR="00DE024F" w:rsidRDefault="00680450" w:rsidP="00F2386A">
            <w:r>
              <w:t>£233.70</w:t>
            </w:r>
            <w:r w:rsidR="00012B49">
              <w:t>*</w:t>
            </w:r>
          </w:p>
        </w:tc>
        <w:tc>
          <w:tcPr>
            <w:tcW w:w="1923" w:type="dxa"/>
          </w:tcPr>
          <w:p w:rsidR="00DE024F" w:rsidRDefault="00680450" w:rsidP="00F2386A">
            <w:r>
              <w:t>£233.70</w:t>
            </w:r>
            <w:r w:rsidR="00012B49">
              <w:t>*</w:t>
            </w:r>
          </w:p>
        </w:tc>
      </w:tr>
      <w:tr w:rsidR="00D119EE" w:rsidTr="00D2316B">
        <w:tc>
          <w:tcPr>
            <w:tcW w:w="6204" w:type="dxa"/>
          </w:tcPr>
          <w:p w:rsidR="002B08B5" w:rsidRDefault="002B08B5" w:rsidP="00D119EE">
            <w:r w:rsidRPr="002B08B5">
              <w:t xml:space="preserve">Therapeutic Thinking Service </w:t>
            </w:r>
          </w:p>
          <w:p w:rsidR="00D119EE" w:rsidRDefault="002B08B5" w:rsidP="00D119EE">
            <w:r w:rsidRPr="002B08B5">
              <w:rPr>
                <w:color w:val="7F7F7F" w:themeColor="text1" w:themeTint="80"/>
              </w:rPr>
              <w:t>(</w:t>
            </w:r>
            <w:r w:rsidR="00D119EE" w:rsidRPr="002B08B5">
              <w:rPr>
                <w:color w:val="7F7F7F" w:themeColor="text1" w:themeTint="80"/>
              </w:rPr>
              <w:t>Behaviour support services</w:t>
            </w:r>
            <w:r w:rsidRPr="002B08B5">
              <w:rPr>
                <w:color w:val="7F7F7F" w:themeColor="text1" w:themeTint="80"/>
              </w:rPr>
              <w:t>)</w:t>
            </w:r>
          </w:p>
        </w:tc>
        <w:tc>
          <w:tcPr>
            <w:tcW w:w="1842" w:type="dxa"/>
          </w:tcPr>
          <w:p w:rsidR="00D119EE" w:rsidRDefault="00680450" w:rsidP="00D119EE">
            <w:r>
              <w:t>£15.17</w:t>
            </w:r>
          </w:p>
        </w:tc>
        <w:tc>
          <w:tcPr>
            <w:tcW w:w="1923" w:type="dxa"/>
          </w:tcPr>
          <w:p w:rsidR="00D119EE" w:rsidRDefault="00680450" w:rsidP="00D119EE">
            <w:r>
              <w:t>£15.17</w:t>
            </w:r>
          </w:p>
        </w:tc>
      </w:tr>
    </w:tbl>
    <w:p w:rsidR="00DE024F" w:rsidRDefault="005B0151" w:rsidP="00F2386A">
      <w:r>
        <w:t xml:space="preserve">* </w:t>
      </w:r>
      <w:r w:rsidR="00012B49">
        <w:t>rate</w:t>
      </w:r>
      <w:r>
        <w:t xml:space="preserve"> is based on EAL 3 pupil numbers</w:t>
      </w:r>
    </w:p>
    <w:p w:rsidR="0002789B" w:rsidRDefault="0002789B" w:rsidP="00F2386A"/>
    <w:p w:rsidR="0002789B" w:rsidRDefault="0002789B" w:rsidP="00F2386A">
      <w:r>
        <w:t>The Sc</w:t>
      </w:r>
      <w:r w:rsidR="0097204F">
        <w:t>hools Forum have also agreed a de-delegation</w:t>
      </w:r>
      <w:r>
        <w:t xml:space="preserve"> for Health and Safety. However, due to the pricing structure this is not included in the APT and is regarded as an agreed buyback by all maintained schools.</w:t>
      </w:r>
    </w:p>
    <w:p w:rsidR="006F04F6" w:rsidRDefault="006F04F6" w:rsidP="00F2386A"/>
    <w:p w:rsidR="00F2386A" w:rsidRDefault="006F04F6" w:rsidP="00F2386A">
      <w:r w:rsidRPr="0002789B">
        <w:rPr>
          <w:b/>
        </w:rPr>
        <w:t>Education functions</w:t>
      </w:r>
      <w:r w:rsidRPr="006F04F6">
        <w:rPr>
          <w:b/>
        </w:rPr>
        <w:t xml:space="preserve"> </w:t>
      </w:r>
      <w:r w:rsidR="00500964">
        <w:t>(applies to maintained schools only)</w:t>
      </w:r>
    </w:p>
    <w:p w:rsidR="00500964" w:rsidRDefault="00500964" w:rsidP="00F2386A"/>
    <w:p w:rsidR="00500964" w:rsidRDefault="00500964" w:rsidP="00F2386A">
      <w:r w:rsidRPr="00500964">
        <w:t>The rates per pupil are as follows:</w:t>
      </w:r>
    </w:p>
    <w:p w:rsidR="006F04F6" w:rsidRPr="006F04F6" w:rsidRDefault="006F04F6" w:rsidP="00F2386A"/>
    <w:tbl>
      <w:tblPr>
        <w:tblStyle w:val="TableGrid"/>
        <w:tblW w:w="0" w:type="auto"/>
        <w:tblLook w:val="04A0" w:firstRow="1" w:lastRow="0" w:firstColumn="1" w:lastColumn="0" w:noHBand="0" w:noVBand="1"/>
      </w:tblPr>
      <w:tblGrid>
        <w:gridCol w:w="6204"/>
        <w:gridCol w:w="1842"/>
        <w:gridCol w:w="1923"/>
      </w:tblGrid>
      <w:tr w:rsidR="00C54D3F" w:rsidRPr="006F04F6" w:rsidTr="00C54D3F">
        <w:tc>
          <w:tcPr>
            <w:tcW w:w="6204" w:type="dxa"/>
            <w:vMerge w:val="restart"/>
            <w:tcBorders>
              <w:top w:val="single" w:sz="4" w:space="0" w:color="auto"/>
              <w:left w:val="single" w:sz="4" w:space="0" w:color="auto"/>
              <w:right w:val="single" w:sz="4" w:space="0" w:color="auto"/>
            </w:tcBorders>
          </w:tcPr>
          <w:p w:rsidR="00C54D3F" w:rsidRDefault="00C54D3F" w:rsidP="008A0C2C">
            <w:r w:rsidRPr="00C54D3F">
              <w:t>Education functions consist of the statutory and regulatory duties held by the local authority in respect of maintai</w:t>
            </w:r>
            <w:r w:rsidR="00B4345C">
              <w:t>ned schools. These consist of st</w:t>
            </w:r>
            <w:r w:rsidRPr="00C54D3F">
              <w:t xml:space="preserve">atutory Accounting functions, Internal Audit of schools, Pension Scheme administration and </w:t>
            </w:r>
            <w:r w:rsidR="008A0C2C">
              <w:t>School Improvement</w:t>
            </w:r>
          </w:p>
        </w:tc>
        <w:tc>
          <w:tcPr>
            <w:tcW w:w="1842" w:type="dxa"/>
            <w:tcBorders>
              <w:top w:val="single" w:sz="4" w:space="0" w:color="auto"/>
              <w:left w:val="single" w:sz="4" w:space="0" w:color="auto"/>
              <w:bottom w:val="single" w:sz="4" w:space="0" w:color="auto"/>
              <w:right w:val="single" w:sz="4" w:space="0" w:color="auto"/>
            </w:tcBorders>
          </w:tcPr>
          <w:p w:rsidR="00C54D3F" w:rsidRDefault="00C54D3F" w:rsidP="006F04F6">
            <w:r>
              <w:t>Primary</w:t>
            </w:r>
          </w:p>
          <w:p w:rsidR="00C54D3F" w:rsidRDefault="00C54D3F" w:rsidP="006F04F6"/>
        </w:tc>
        <w:tc>
          <w:tcPr>
            <w:tcW w:w="1923" w:type="dxa"/>
            <w:tcBorders>
              <w:left w:val="single" w:sz="4" w:space="0" w:color="auto"/>
            </w:tcBorders>
          </w:tcPr>
          <w:p w:rsidR="00C54D3F" w:rsidRDefault="00C54D3F" w:rsidP="006F04F6">
            <w:r>
              <w:t>Secondary</w:t>
            </w:r>
          </w:p>
        </w:tc>
      </w:tr>
      <w:tr w:rsidR="00C54D3F" w:rsidRPr="006F04F6" w:rsidTr="001A4EBA">
        <w:tc>
          <w:tcPr>
            <w:tcW w:w="6204" w:type="dxa"/>
            <w:vMerge/>
            <w:tcBorders>
              <w:right w:val="single" w:sz="4" w:space="0" w:color="auto"/>
            </w:tcBorders>
          </w:tcPr>
          <w:p w:rsidR="00C54D3F" w:rsidRPr="006F04F6" w:rsidRDefault="00C54D3F" w:rsidP="006F04F6">
            <w:pPr>
              <w:rPr>
                <w:color w:val="7F7F7F"/>
              </w:rPr>
            </w:pPr>
          </w:p>
        </w:tc>
        <w:tc>
          <w:tcPr>
            <w:tcW w:w="1842" w:type="dxa"/>
            <w:tcBorders>
              <w:top w:val="single" w:sz="4" w:space="0" w:color="auto"/>
              <w:left w:val="single" w:sz="4" w:space="0" w:color="auto"/>
            </w:tcBorders>
          </w:tcPr>
          <w:p w:rsidR="00C54D3F" w:rsidRPr="006F04F6" w:rsidRDefault="00C54D3F" w:rsidP="006F04F6">
            <w:r w:rsidRPr="006F04F6">
              <w:t>£</w:t>
            </w:r>
            <w:r w:rsidR="005D5F72">
              <w:t>1</w:t>
            </w:r>
            <w:r w:rsidR="0002789B">
              <w:t>9.53</w:t>
            </w:r>
          </w:p>
        </w:tc>
        <w:tc>
          <w:tcPr>
            <w:tcW w:w="1923" w:type="dxa"/>
          </w:tcPr>
          <w:p w:rsidR="00C54D3F" w:rsidRPr="006F04F6" w:rsidRDefault="0002789B" w:rsidP="006F04F6">
            <w:r>
              <w:t>£19.53</w:t>
            </w:r>
          </w:p>
        </w:tc>
      </w:tr>
    </w:tbl>
    <w:p w:rsidR="008E652C" w:rsidRDefault="008E652C" w:rsidP="00E92005">
      <w:pPr>
        <w:ind w:left="426"/>
        <w:rPr>
          <w:rFonts w:cs="Arial"/>
        </w:rPr>
      </w:pPr>
    </w:p>
    <w:p w:rsidR="008E652C" w:rsidRDefault="008E652C" w:rsidP="008E652C">
      <w:pPr>
        <w:rPr>
          <w:b/>
        </w:rPr>
      </w:pPr>
      <w:r w:rsidRPr="0002789B">
        <w:rPr>
          <w:b/>
        </w:rPr>
        <w:t>Notional SEN</w:t>
      </w:r>
    </w:p>
    <w:p w:rsidR="002C6DD0" w:rsidRDefault="002C6DD0" w:rsidP="008E652C">
      <w:pPr>
        <w:rPr>
          <w:b/>
        </w:rPr>
      </w:pPr>
    </w:p>
    <w:p w:rsidR="0056587C" w:rsidRDefault="002C6DD0" w:rsidP="005D5F72">
      <w:pPr>
        <w:widowControl w:val="0"/>
        <w:overflowPunct w:val="0"/>
        <w:autoSpaceDE w:val="0"/>
        <w:autoSpaceDN w:val="0"/>
        <w:adjustRightInd w:val="0"/>
        <w:rPr>
          <w:rFonts w:cs="Arial"/>
        </w:rPr>
      </w:pPr>
      <w:r w:rsidRPr="002C6DD0">
        <w:rPr>
          <w:rFonts w:cs="Arial"/>
        </w:rPr>
        <w:t>Schools have an amount</w:t>
      </w:r>
      <w:r>
        <w:rPr>
          <w:rFonts w:cs="Arial"/>
        </w:rPr>
        <w:t xml:space="preserve">, a proxy figure, </w:t>
      </w:r>
      <w:r w:rsidRPr="002C6DD0">
        <w:rPr>
          <w:rFonts w:cs="Arial"/>
        </w:rPr>
        <w:t xml:space="preserve">identified </w:t>
      </w:r>
      <w:r>
        <w:rPr>
          <w:rFonts w:cs="Arial"/>
        </w:rPr>
        <w:t>within their overall delegated funding</w:t>
      </w:r>
      <w:r w:rsidR="00514059">
        <w:rPr>
          <w:rFonts w:cs="Arial"/>
        </w:rPr>
        <w:t xml:space="preserve"> </w:t>
      </w:r>
      <w:r w:rsidRPr="002C6DD0">
        <w:rPr>
          <w:rFonts w:cs="Arial"/>
        </w:rPr>
        <w:t>called the Notional SEN budget.</w:t>
      </w:r>
      <w:r w:rsidR="0056587C">
        <w:rPr>
          <w:rFonts w:cs="Arial"/>
        </w:rPr>
        <w:t xml:space="preserve"> Using the notional SEN budget, mainstream schools and academies are expected to:</w:t>
      </w:r>
    </w:p>
    <w:p w:rsidR="002C6DD0" w:rsidRDefault="002C6DD0" w:rsidP="005D5F72">
      <w:pPr>
        <w:widowControl w:val="0"/>
        <w:overflowPunct w:val="0"/>
        <w:autoSpaceDE w:val="0"/>
        <w:autoSpaceDN w:val="0"/>
        <w:adjustRightInd w:val="0"/>
        <w:rPr>
          <w:rFonts w:cs="Arial"/>
        </w:rPr>
      </w:pPr>
    </w:p>
    <w:p w:rsidR="0056587C" w:rsidRDefault="0056587C" w:rsidP="0056587C">
      <w:pPr>
        <w:widowControl w:val="0"/>
        <w:numPr>
          <w:ilvl w:val="0"/>
          <w:numId w:val="18"/>
        </w:numPr>
        <w:overflowPunct w:val="0"/>
        <w:autoSpaceDE w:val="0"/>
        <w:autoSpaceDN w:val="0"/>
        <w:adjustRightInd w:val="0"/>
      </w:pPr>
      <w:r>
        <w:t>meet the needs of pupils with low-cost, high-incidence SEN; and</w:t>
      </w:r>
    </w:p>
    <w:p w:rsidR="0056587C" w:rsidRPr="002C6DD0" w:rsidRDefault="0056587C" w:rsidP="00E2195B">
      <w:pPr>
        <w:numPr>
          <w:ilvl w:val="0"/>
          <w:numId w:val="18"/>
        </w:numPr>
        <w:rPr>
          <w:rFonts w:cs="Arial"/>
        </w:rPr>
      </w:pPr>
      <w:r>
        <w:t>contribute</w:t>
      </w:r>
      <w:r w:rsidR="00E2195B" w:rsidRPr="00E2195B">
        <w:t xml:space="preserve"> the first £6,000 of the additional educational support provision for high needs pupils</w:t>
      </w:r>
    </w:p>
    <w:p w:rsidR="002C6DD0" w:rsidRPr="00E2195B" w:rsidRDefault="002C6DD0" w:rsidP="002C6DD0">
      <w:pPr>
        <w:ind w:left="870"/>
        <w:rPr>
          <w:rFonts w:cs="Arial"/>
        </w:rPr>
      </w:pPr>
    </w:p>
    <w:p w:rsidR="00E2195B" w:rsidRDefault="00E2195B" w:rsidP="00E2195B">
      <w:pPr>
        <w:rPr>
          <w:rFonts w:cs="Arial"/>
        </w:rPr>
      </w:pPr>
      <w:r>
        <w:rPr>
          <w:rFonts w:cs="Arial"/>
        </w:rPr>
        <w:t>The</w:t>
      </w:r>
      <w:r w:rsidR="00B2279C">
        <w:rPr>
          <w:rFonts w:cs="Arial"/>
        </w:rPr>
        <w:t xml:space="preserve"> notional SEN </w:t>
      </w:r>
      <w:r w:rsidR="002C6DD0">
        <w:rPr>
          <w:rFonts w:cs="Arial"/>
        </w:rPr>
        <w:t xml:space="preserve">consists of </w:t>
      </w:r>
      <w:r w:rsidR="00B2279C">
        <w:rPr>
          <w:rFonts w:cs="Arial"/>
        </w:rPr>
        <w:t>100% of low prior attainment</w:t>
      </w:r>
      <w:r w:rsidR="002C6DD0">
        <w:rPr>
          <w:rFonts w:cs="Arial"/>
        </w:rPr>
        <w:t xml:space="preserve"> factor rate.</w:t>
      </w:r>
    </w:p>
    <w:p w:rsidR="003941BF" w:rsidRPr="00677D9A" w:rsidRDefault="003941BF" w:rsidP="003941BF">
      <w:pPr>
        <w:rPr>
          <w:rFonts w:cs="Arial"/>
          <w:highlight w:val="yellow"/>
        </w:rPr>
      </w:pPr>
    </w:p>
    <w:p w:rsidR="00845496" w:rsidRDefault="003941BF" w:rsidP="003941BF">
      <w:pPr>
        <w:rPr>
          <w:rFonts w:cs="Arial"/>
          <w:b/>
        </w:rPr>
      </w:pPr>
      <w:r w:rsidRPr="008E652C">
        <w:rPr>
          <w:rFonts w:cs="Arial"/>
          <w:b/>
        </w:rPr>
        <w:t xml:space="preserve">Total Funding </w:t>
      </w:r>
      <w:r w:rsidR="008E652C" w:rsidRPr="008E652C">
        <w:rPr>
          <w:rFonts w:cs="Arial"/>
          <w:b/>
        </w:rPr>
        <w:t>for Schools</w:t>
      </w:r>
      <w:r w:rsidR="0097204F">
        <w:rPr>
          <w:rFonts w:cs="Arial"/>
          <w:b/>
        </w:rPr>
        <w:t xml:space="preserve"> Block Formula (after deduction of de-delegation and education functions</w:t>
      </w:r>
      <w:r w:rsidR="008E652C" w:rsidRPr="008E652C">
        <w:rPr>
          <w:rFonts w:cs="Arial"/>
          <w:b/>
        </w:rPr>
        <w:t>)</w:t>
      </w:r>
    </w:p>
    <w:p w:rsidR="00845496" w:rsidRPr="008E652C" w:rsidRDefault="00845496" w:rsidP="003941BF">
      <w:pPr>
        <w:rPr>
          <w:rFonts w:cs="Arial"/>
          <w:b/>
        </w:rPr>
      </w:pPr>
    </w:p>
    <w:p w:rsidR="003941BF" w:rsidRDefault="003941BF" w:rsidP="00B2279C">
      <w:pPr>
        <w:rPr>
          <w:rFonts w:cs="Arial"/>
        </w:rPr>
      </w:pPr>
      <w:r w:rsidRPr="008E652C">
        <w:rPr>
          <w:rFonts w:cs="Arial"/>
        </w:rPr>
        <w:t xml:space="preserve">This is </w:t>
      </w:r>
      <w:r w:rsidR="00B2279C">
        <w:rPr>
          <w:rFonts w:cs="Arial"/>
        </w:rPr>
        <w:t xml:space="preserve">the funding for a school </w:t>
      </w:r>
      <w:r w:rsidRPr="008E652C">
        <w:rPr>
          <w:rFonts w:cs="Arial"/>
        </w:rPr>
        <w:t xml:space="preserve">after the de-delegations have been deducted and is the </w:t>
      </w:r>
      <w:r w:rsidR="00B2279C">
        <w:rPr>
          <w:rFonts w:cs="Arial"/>
        </w:rPr>
        <w:t xml:space="preserve">total </w:t>
      </w:r>
      <w:r w:rsidR="00A22A7F">
        <w:rPr>
          <w:rFonts w:cs="Arial"/>
        </w:rPr>
        <w:t xml:space="preserve">formula </w:t>
      </w:r>
      <w:r w:rsidRPr="008E652C">
        <w:rPr>
          <w:rFonts w:cs="Arial"/>
        </w:rPr>
        <w:t>fundin</w:t>
      </w:r>
      <w:r w:rsidR="00B2279C">
        <w:rPr>
          <w:rFonts w:cs="Arial"/>
        </w:rPr>
        <w:t xml:space="preserve">g that the school will </w:t>
      </w:r>
      <w:r w:rsidRPr="008E652C">
        <w:rPr>
          <w:rFonts w:cs="Arial"/>
        </w:rPr>
        <w:t>receive.</w:t>
      </w:r>
    </w:p>
    <w:p w:rsidR="00E17095" w:rsidRDefault="00E17095" w:rsidP="003941BF">
      <w:pPr>
        <w:rPr>
          <w:rFonts w:cs="Arial"/>
          <w:b/>
          <w:color w:val="F2F2F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44CC9" w:rsidRPr="00FF265C" w:rsidTr="00FF265C">
        <w:tc>
          <w:tcPr>
            <w:tcW w:w="9855" w:type="dxa"/>
            <w:shd w:val="clear" w:color="auto" w:fill="4F6228"/>
          </w:tcPr>
          <w:p w:rsidR="00C44CC9" w:rsidRPr="00FF265C" w:rsidRDefault="00301C02" w:rsidP="00301C02">
            <w:pPr>
              <w:rPr>
                <w:rFonts w:cs="Arial"/>
                <w:b/>
                <w:color w:val="F2F2F2"/>
                <w:sz w:val="28"/>
              </w:rPr>
            </w:pPr>
            <w:r>
              <w:rPr>
                <w:rFonts w:cs="Arial"/>
                <w:b/>
                <w:color w:val="F2F2F2"/>
                <w:sz w:val="28"/>
              </w:rPr>
              <w:t>Other</w:t>
            </w:r>
            <w:r w:rsidR="00E01CD7">
              <w:rPr>
                <w:rFonts w:cs="Arial"/>
                <w:b/>
                <w:color w:val="F2F2F2"/>
                <w:sz w:val="28"/>
              </w:rPr>
              <w:t xml:space="preserve"> Formula</w:t>
            </w:r>
            <w:r>
              <w:rPr>
                <w:rFonts w:cs="Arial"/>
                <w:b/>
                <w:color w:val="F2F2F2"/>
                <w:sz w:val="28"/>
              </w:rPr>
              <w:t xml:space="preserve"> </w:t>
            </w:r>
            <w:r w:rsidR="00C44CC9" w:rsidRPr="00FF265C">
              <w:rPr>
                <w:rFonts w:cs="Arial"/>
                <w:b/>
                <w:color w:val="F2F2F2"/>
                <w:sz w:val="28"/>
              </w:rPr>
              <w:t xml:space="preserve"> Funding </w:t>
            </w:r>
          </w:p>
        </w:tc>
      </w:tr>
    </w:tbl>
    <w:p w:rsidR="003941BF" w:rsidRDefault="00B410EF" w:rsidP="003941BF">
      <w:pPr>
        <w:rPr>
          <w:rFonts w:cs="Arial"/>
        </w:rPr>
      </w:pPr>
      <w:r>
        <w:rPr>
          <w:rFonts w:cs="Arial"/>
          <w:b/>
          <w:color w:val="F2F2F2"/>
          <w:sz w:val="28"/>
        </w:rPr>
        <w:t xml:space="preserve"> </w:t>
      </w:r>
    </w:p>
    <w:p w:rsidR="00A02470" w:rsidRPr="0097204F" w:rsidRDefault="00A02470" w:rsidP="006A6D4D">
      <w:pPr>
        <w:pStyle w:val="Heading1"/>
        <w:rPr>
          <w:rFonts w:cs="Arial"/>
        </w:rPr>
      </w:pPr>
      <w:r w:rsidRPr="0097204F">
        <w:rPr>
          <w:rFonts w:cs="Arial"/>
        </w:rPr>
        <w:t>Early Years National Funding Formula (EYNFF)</w:t>
      </w:r>
    </w:p>
    <w:p w:rsidR="00A02470" w:rsidRDefault="00A02470" w:rsidP="00A02470">
      <w:pPr>
        <w:rPr>
          <w:rFonts w:cs="Arial"/>
        </w:rPr>
      </w:pPr>
      <w:r>
        <w:rPr>
          <w:rFonts w:cs="Arial"/>
        </w:rPr>
        <w:t xml:space="preserve">The </w:t>
      </w:r>
      <w:r w:rsidRPr="00A02470">
        <w:rPr>
          <w:rFonts w:cs="Arial"/>
        </w:rPr>
        <w:t>Early Years National Funding Formula (EYN</w:t>
      </w:r>
      <w:r w:rsidR="00AA2095">
        <w:rPr>
          <w:rFonts w:cs="Arial"/>
        </w:rPr>
        <w:t xml:space="preserve">FF) has been in place since </w:t>
      </w:r>
      <w:r w:rsidRPr="00A02470">
        <w:rPr>
          <w:rFonts w:cs="Arial"/>
        </w:rPr>
        <w:t>2017-18.</w:t>
      </w:r>
      <w:r>
        <w:rPr>
          <w:rFonts w:cs="Arial"/>
        </w:rPr>
        <w:t xml:space="preserve"> The </w:t>
      </w:r>
      <w:r w:rsidRPr="00A02470">
        <w:rPr>
          <w:rFonts w:cs="Arial"/>
        </w:rPr>
        <w:t>early years block of th</w:t>
      </w:r>
      <w:r>
        <w:rPr>
          <w:rFonts w:cs="Arial"/>
        </w:rPr>
        <w:t>e dedicated schools grant (DSG) includes</w:t>
      </w:r>
    </w:p>
    <w:p w:rsidR="00A02470" w:rsidRPr="00A02470" w:rsidRDefault="00A02470" w:rsidP="00A02470">
      <w:pPr>
        <w:rPr>
          <w:rFonts w:cs="Arial"/>
        </w:rPr>
      </w:pPr>
    </w:p>
    <w:p w:rsidR="00A02470" w:rsidRPr="00A02470" w:rsidRDefault="00A02470" w:rsidP="00A02470">
      <w:pPr>
        <w:numPr>
          <w:ilvl w:val="0"/>
          <w:numId w:val="18"/>
        </w:numPr>
        <w:rPr>
          <w:rFonts w:cs="Arial"/>
        </w:rPr>
      </w:pPr>
      <w:r w:rsidRPr="00A02470">
        <w:rPr>
          <w:rFonts w:cs="Arial"/>
        </w:rPr>
        <w:t>the 15 hours entitlement for disadvantaged 2-year-olds</w:t>
      </w:r>
    </w:p>
    <w:p w:rsidR="00A02470" w:rsidRPr="00A02470" w:rsidRDefault="00A02470" w:rsidP="00A02470">
      <w:pPr>
        <w:numPr>
          <w:ilvl w:val="0"/>
          <w:numId w:val="18"/>
        </w:numPr>
        <w:rPr>
          <w:rFonts w:cs="Arial"/>
        </w:rPr>
      </w:pPr>
      <w:r w:rsidRPr="00A02470">
        <w:rPr>
          <w:rFonts w:cs="Arial"/>
        </w:rPr>
        <w:t>the universal 15 hours entitlement for all 3 and 4-year-olds</w:t>
      </w:r>
    </w:p>
    <w:p w:rsidR="00A02470" w:rsidRPr="00A02470" w:rsidRDefault="00A02470" w:rsidP="00A02470">
      <w:pPr>
        <w:numPr>
          <w:ilvl w:val="0"/>
          <w:numId w:val="18"/>
        </w:numPr>
        <w:rPr>
          <w:rFonts w:cs="Arial"/>
        </w:rPr>
      </w:pPr>
      <w:r w:rsidRPr="00A02470">
        <w:rPr>
          <w:rFonts w:cs="Arial"/>
        </w:rPr>
        <w:t>the additional 15 hours entitlement for eligible working parents of 3 and 4-year</w:t>
      </w:r>
      <w:r w:rsidR="00F83188">
        <w:rPr>
          <w:rFonts w:cs="Arial"/>
        </w:rPr>
        <w:t xml:space="preserve"> </w:t>
      </w:r>
      <w:r w:rsidRPr="00A02470">
        <w:rPr>
          <w:rFonts w:cs="Arial"/>
        </w:rPr>
        <w:t>olds</w:t>
      </w:r>
    </w:p>
    <w:p w:rsidR="00A02470" w:rsidRPr="00A02470" w:rsidRDefault="00A02470" w:rsidP="00A02470">
      <w:pPr>
        <w:numPr>
          <w:ilvl w:val="0"/>
          <w:numId w:val="18"/>
        </w:numPr>
        <w:rPr>
          <w:rFonts w:cs="Arial"/>
        </w:rPr>
      </w:pPr>
      <w:r w:rsidRPr="00A02470">
        <w:rPr>
          <w:rFonts w:cs="Arial"/>
        </w:rPr>
        <w:t>the early years pupil premium (EYPP)</w:t>
      </w:r>
    </w:p>
    <w:p w:rsidR="00A02470" w:rsidRPr="00A02470" w:rsidRDefault="00A02470" w:rsidP="00A02470">
      <w:pPr>
        <w:numPr>
          <w:ilvl w:val="0"/>
          <w:numId w:val="18"/>
        </w:numPr>
        <w:rPr>
          <w:rFonts w:cs="Arial"/>
        </w:rPr>
      </w:pPr>
      <w:r w:rsidRPr="00A02470">
        <w:rPr>
          <w:rFonts w:cs="Arial"/>
        </w:rPr>
        <w:t>the disability access fund (DAF)</w:t>
      </w:r>
    </w:p>
    <w:p w:rsidR="00A02470" w:rsidRDefault="00A02470" w:rsidP="00A02470">
      <w:pPr>
        <w:numPr>
          <w:ilvl w:val="0"/>
          <w:numId w:val="18"/>
        </w:numPr>
        <w:rPr>
          <w:rFonts w:cs="Arial"/>
        </w:rPr>
      </w:pPr>
      <w:r w:rsidRPr="00A02470">
        <w:rPr>
          <w:rFonts w:cs="Arial"/>
        </w:rPr>
        <w:t>maintained nursery school (MNS) supplementary funding</w:t>
      </w:r>
    </w:p>
    <w:p w:rsidR="00A02470" w:rsidRPr="00E17095" w:rsidRDefault="00A02470" w:rsidP="00A02470">
      <w:pPr>
        <w:rPr>
          <w:rFonts w:cs="Arial"/>
        </w:rPr>
      </w:pPr>
    </w:p>
    <w:p w:rsidR="003941BF" w:rsidRDefault="003941BF" w:rsidP="00AA2095">
      <w:pPr>
        <w:rPr>
          <w:rFonts w:cs="Arial"/>
        </w:rPr>
      </w:pPr>
      <w:r>
        <w:rPr>
          <w:rFonts w:cs="Arial"/>
        </w:rPr>
        <w:t xml:space="preserve">The Early Years Funding Formula </w:t>
      </w:r>
      <w:r w:rsidR="007710A3">
        <w:rPr>
          <w:rFonts w:cs="Arial"/>
        </w:rPr>
        <w:t xml:space="preserve">for </w:t>
      </w:r>
      <w:r w:rsidR="003F175C">
        <w:rPr>
          <w:rFonts w:cs="Arial"/>
        </w:rPr>
        <w:t xml:space="preserve">two, </w:t>
      </w:r>
      <w:r w:rsidR="007710A3">
        <w:rPr>
          <w:rFonts w:cs="Arial"/>
        </w:rPr>
        <w:t xml:space="preserve">three and four year old </w:t>
      </w:r>
      <w:r w:rsidR="007710A3" w:rsidRPr="00A51326">
        <w:rPr>
          <w:rFonts w:cs="Arial"/>
        </w:rPr>
        <w:t>nursery</w:t>
      </w:r>
      <w:r w:rsidR="007710A3">
        <w:rPr>
          <w:rFonts w:cs="Arial"/>
        </w:rPr>
        <w:t xml:space="preserve"> pupils </w:t>
      </w:r>
      <w:r>
        <w:rPr>
          <w:rFonts w:cs="Arial"/>
        </w:rPr>
        <w:t xml:space="preserve">is based on actual hours of take up in each term. Payment is made </w:t>
      </w:r>
      <w:r w:rsidR="003417A0">
        <w:rPr>
          <w:rFonts w:cs="Arial"/>
        </w:rPr>
        <w:t>once a term</w:t>
      </w:r>
      <w:r>
        <w:rPr>
          <w:rFonts w:cs="Arial"/>
        </w:rPr>
        <w:t xml:space="preserve"> based on the actual census numbers for that term. </w:t>
      </w:r>
    </w:p>
    <w:p w:rsidR="003941BF" w:rsidRDefault="003941BF" w:rsidP="003941BF">
      <w:pPr>
        <w:rPr>
          <w:rFonts w:cs="Arial"/>
        </w:rPr>
      </w:pPr>
    </w:p>
    <w:p w:rsidR="003941BF" w:rsidRDefault="00417558" w:rsidP="00F83188">
      <w:pPr>
        <w:rPr>
          <w:rFonts w:cs="Arial"/>
        </w:rPr>
      </w:pPr>
      <w:r w:rsidRPr="00153D39">
        <w:rPr>
          <w:rFonts w:cs="Arial"/>
        </w:rPr>
        <w:t xml:space="preserve">A separate </w:t>
      </w:r>
      <w:r w:rsidR="00153D39" w:rsidRPr="00153D39">
        <w:rPr>
          <w:rFonts w:cs="Arial"/>
        </w:rPr>
        <w:t xml:space="preserve">Early Years Funding </w:t>
      </w:r>
      <w:r w:rsidRPr="00153D39">
        <w:rPr>
          <w:rFonts w:cs="Arial"/>
        </w:rPr>
        <w:t xml:space="preserve">spreadsheet </w:t>
      </w:r>
      <w:r w:rsidR="00E17095">
        <w:rPr>
          <w:rFonts w:cs="Arial"/>
        </w:rPr>
        <w:t>is</w:t>
      </w:r>
      <w:r w:rsidRPr="00153D39">
        <w:rPr>
          <w:rFonts w:cs="Arial"/>
        </w:rPr>
        <w:t xml:space="preserve"> provided </w:t>
      </w:r>
      <w:r w:rsidR="00B60808">
        <w:rPr>
          <w:rFonts w:cs="Arial"/>
        </w:rPr>
        <w:t xml:space="preserve">by the Council </w:t>
      </w:r>
      <w:r w:rsidR="00E17095">
        <w:rPr>
          <w:rFonts w:cs="Arial"/>
        </w:rPr>
        <w:t xml:space="preserve">with </w:t>
      </w:r>
      <w:r w:rsidR="003F175C" w:rsidRPr="00153D39">
        <w:rPr>
          <w:rFonts w:cs="Arial"/>
        </w:rPr>
        <w:t xml:space="preserve">estimated funding based on the </w:t>
      </w:r>
      <w:r w:rsidR="00B60808">
        <w:rPr>
          <w:rFonts w:cs="Arial"/>
        </w:rPr>
        <w:t xml:space="preserve">agreed </w:t>
      </w:r>
      <w:r w:rsidR="00153D39" w:rsidRPr="00153D39">
        <w:rPr>
          <w:rFonts w:cs="Arial"/>
        </w:rPr>
        <w:t xml:space="preserve">funding rate multiplied by the </w:t>
      </w:r>
      <w:r w:rsidR="003941BF" w:rsidRPr="00153D39">
        <w:rPr>
          <w:rFonts w:cs="Arial"/>
        </w:rPr>
        <w:t>number of actual pupils in each of the last 3 terms</w:t>
      </w:r>
      <w:r w:rsidR="00D54B11" w:rsidRPr="00153D39">
        <w:rPr>
          <w:rFonts w:cs="Arial"/>
        </w:rPr>
        <w:t xml:space="preserve"> census</w:t>
      </w:r>
      <w:r w:rsidR="005230F2">
        <w:rPr>
          <w:rFonts w:cs="Arial"/>
        </w:rPr>
        <w:t xml:space="preserve"> (May, October</w:t>
      </w:r>
      <w:r w:rsidR="00153D39">
        <w:rPr>
          <w:rFonts w:cs="Arial"/>
        </w:rPr>
        <w:t>, January</w:t>
      </w:r>
      <w:r w:rsidR="003F175C" w:rsidRPr="00153D39">
        <w:rPr>
          <w:rFonts w:cs="Arial"/>
        </w:rPr>
        <w:t>)</w:t>
      </w:r>
      <w:r w:rsidR="003941BF" w:rsidRPr="00153D39">
        <w:rPr>
          <w:rFonts w:cs="Arial"/>
        </w:rPr>
        <w:t xml:space="preserve">. </w:t>
      </w:r>
    </w:p>
    <w:p w:rsidR="005D5055" w:rsidRDefault="005D5055" w:rsidP="00F83188">
      <w:pPr>
        <w:rPr>
          <w:rFonts w:cs="Arial"/>
        </w:rPr>
      </w:pPr>
    </w:p>
    <w:p w:rsidR="005D5055" w:rsidRDefault="005D5055" w:rsidP="00F83188">
      <w:pPr>
        <w:rPr>
          <w:rFonts w:cs="Arial"/>
        </w:rPr>
      </w:pPr>
      <w:r w:rsidRPr="005D5055">
        <w:rPr>
          <w:rFonts w:cs="Arial"/>
        </w:rPr>
        <w:t xml:space="preserve">The Early Years team </w:t>
      </w:r>
      <w:hyperlink r:id="rId10" w:history="1">
        <w:r w:rsidRPr="00603488">
          <w:rPr>
            <w:rStyle w:val="Hyperlink"/>
            <w:rFonts w:cs="Arial"/>
          </w:rPr>
          <w:t>Earlyyearsservice@westberks.gov.uk</w:t>
        </w:r>
      </w:hyperlink>
      <w:r>
        <w:rPr>
          <w:rFonts w:cs="Arial"/>
        </w:rPr>
        <w:t xml:space="preserve"> </w:t>
      </w:r>
      <w:r w:rsidRPr="005D5055">
        <w:rPr>
          <w:rFonts w:cs="Arial"/>
        </w:rPr>
        <w:t xml:space="preserve"> should be contacted with any queries relating to this funding.</w:t>
      </w:r>
    </w:p>
    <w:p w:rsidR="006E2698" w:rsidRPr="00153D39" w:rsidRDefault="006E2698" w:rsidP="00F83188">
      <w:pPr>
        <w:rPr>
          <w:rFonts w:cs="Arial"/>
        </w:rPr>
      </w:pPr>
    </w:p>
    <w:p w:rsidR="0034555B" w:rsidRPr="0097204F" w:rsidRDefault="00F11D1C" w:rsidP="001D1FB8">
      <w:pPr>
        <w:pStyle w:val="Heading1"/>
        <w:rPr>
          <w:rFonts w:cs="Arial"/>
        </w:rPr>
      </w:pPr>
      <w:r w:rsidRPr="0097204F">
        <w:rPr>
          <w:rFonts w:cs="Arial"/>
        </w:rPr>
        <w:t>High Needs Funding</w:t>
      </w:r>
    </w:p>
    <w:p w:rsidR="0034555B" w:rsidRPr="0034555B" w:rsidRDefault="0034555B" w:rsidP="00F83188">
      <w:pPr>
        <w:rPr>
          <w:rFonts w:cs="Arial"/>
        </w:rPr>
      </w:pPr>
      <w:r w:rsidRPr="0034555B">
        <w:rPr>
          <w:rFonts w:cs="Arial"/>
        </w:rPr>
        <w:t>The DfE definition of a High Needs pupil is one where the educational provision cost, including the basic provision given to all pupils exceeds the Age Weighted Pupil Unit (AWPU) plus £6,000.</w:t>
      </w:r>
    </w:p>
    <w:p w:rsidR="00F11D1C" w:rsidRDefault="00F11D1C" w:rsidP="00F83188">
      <w:pPr>
        <w:rPr>
          <w:rFonts w:cs="Arial"/>
          <w:b/>
        </w:rPr>
      </w:pPr>
    </w:p>
    <w:p w:rsidR="00DE05C0" w:rsidRDefault="00F11D1C" w:rsidP="00F11D1C">
      <w:pPr>
        <w:rPr>
          <w:rFonts w:cs="Arial"/>
        </w:rPr>
      </w:pPr>
      <w:r w:rsidRPr="00F11D1C">
        <w:rPr>
          <w:rFonts w:cs="Arial"/>
        </w:rPr>
        <w:t>The first £6,000 of additional SEN support costs is delegated in the individual school budget within the schools funding formula.</w:t>
      </w:r>
    </w:p>
    <w:p w:rsidR="005B33B6" w:rsidRDefault="005B33B6" w:rsidP="00F11D1C">
      <w:pPr>
        <w:rPr>
          <w:rFonts w:cs="Arial"/>
        </w:rPr>
      </w:pPr>
    </w:p>
    <w:p w:rsidR="005B33B6" w:rsidRDefault="005B33B6" w:rsidP="005B33B6">
      <w:pPr>
        <w:rPr>
          <w:rStyle w:val="Hyperlink"/>
          <w:rFonts w:cs="Arial"/>
        </w:rPr>
      </w:pPr>
      <w:r>
        <w:rPr>
          <w:rFonts w:cs="Arial"/>
        </w:rPr>
        <w:t>Any funding queries should be directed to t</w:t>
      </w:r>
      <w:r w:rsidRPr="00F11D1C">
        <w:rPr>
          <w:rFonts w:cs="Arial"/>
        </w:rPr>
        <w:t xml:space="preserve">he SEN team </w:t>
      </w:r>
      <w:r>
        <w:rPr>
          <w:rFonts w:cs="Arial"/>
        </w:rPr>
        <w:t xml:space="preserve">who </w:t>
      </w:r>
      <w:r w:rsidRPr="00F11D1C">
        <w:rPr>
          <w:rFonts w:cs="Arial"/>
        </w:rPr>
        <w:t xml:space="preserve">can be contacted by emailing </w:t>
      </w:r>
      <w:hyperlink r:id="rId11" w:history="1">
        <w:r w:rsidRPr="00291EE2">
          <w:rPr>
            <w:rStyle w:val="Hyperlink"/>
            <w:rFonts w:cs="Arial"/>
          </w:rPr>
          <w:t>SenTeam@westberks.gov.uk</w:t>
        </w:r>
      </w:hyperlink>
    </w:p>
    <w:p w:rsidR="00DE05C0" w:rsidRDefault="00DE05C0" w:rsidP="00F11D1C">
      <w:pPr>
        <w:rPr>
          <w:rFonts w:cs="Arial"/>
        </w:rPr>
      </w:pPr>
    </w:p>
    <w:p w:rsidR="00DE05C0" w:rsidRDefault="00DE05C0" w:rsidP="00DE05C0">
      <w:pPr>
        <w:rPr>
          <w:rFonts w:cs="Arial"/>
          <w:u w:val="single"/>
        </w:rPr>
      </w:pPr>
      <w:r w:rsidRPr="00DE05C0">
        <w:rPr>
          <w:rFonts w:cs="Arial"/>
          <w:u w:val="single"/>
        </w:rPr>
        <w:t>Pre – 16 pupils</w:t>
      </w:r>
    </w:p>
    <w:p w:rsidR="00DE05C0" w:rsidRPr="00DE05C0" w:rsidRDefault="00DE05C0" w:rsidP="00DE05C0">
      <w:pPr>
        <w:rPr>
          <w:rFonts w:cs="Arial"/>
        </w:rPr>
      </w:pPr>
      <w:r w:rsidRPr="00DE05C0">
        <w:rPr>
          <w:rFonts w:cs="Arial"/>
        </w:rPr>
        <w:t xml:space="preserve">Schools and Academies </w:t>
      </w:r>
      <w:r>
        <w:rPr>
          <w:rFonts w:cs="Arial"/>
        </w:rPr>
        <w:t xml:space="preserve">are </w:t>
      </w:r>
      <w:r w:rsidRPr="00DE05C0">
        <w:rPr>
          <w:rFonts w:cs="Arial"/>
        </w:rPr>
        <w:t>expected to contribute the first £6,000 of the additional educational support provision for high needs pupils</w:t>
      </w:r>
      <w:r>
        <w:rPr>
          <w:rFonts w:cs="Arial"/>
        </w:rPr>
        <w:t xml:space="preserve"> from their notional SEN budget.</w:t>
      </w:r>
    </w:p>
    <w:p w:rsidR="00DE05C0" w:rsidRDefault="00DE05C0" w:rsidP="00DE05C0">
      <w:pPr>
        <w:rPr>
          <w:rFonts w:cs="Arial"/>
        </w:rPr>
      </w:pPr>
      <w:r w:rsidRPr="00DE05C0">
        <w:rPr>
          <w:rFonts w:cs="Arial"/>
        </w:rPr>
        <w:t>The number of high needs pupils for whom schools are expected to contribute will be restricted to 1 for every</w:t>
      </w:r>
      <w:r w:rsidR="00C73584">
        <w:rPr>
          <w:rFonts w:cs="Arial"/>
        </w:rPr>
        <w:t xml:space="preserve"> 40 pupils on roll (October 2021</w:t>
      </w:r>
      <w:r w:rsidRPr="00DE05C0">
        <w:rPr>
          <w:rFonts w:cs="Arial"/>
        </w:rPr>
        <w:t>), rounded to the nearest whole number.</w:t>
      </w:r>
    </w:p>
    <w:p w:rsidR="00DE05C0" w:rsidRPr="00DE05C0" w:rsidRDefault="00DE05C0" w:rsidP="00DE05C0">
      <w:pPr>
        <w:rPr>
          <w:rFonts w:cs="Arial"/>
          <w:u w:val="single"/>
        </w:rPr>
      </w:pPr>
    </w:p>
    <w:p w:rsidR="00DE05C0" w:rsidRDefault="00DE05C0" w:rsidP="00DE05C0">
      <w:pPr>
        <w:rPr>
          <w:rFonts w:cs="Arial"/>
          <w:u w:val="single"/>
        </w:rPr>
      </w:pPr>
      <w:r w:rsidRPr="00DE05C0">
        <w:rPr>
          <w:rFonts w:cs="Arial"/>
          <w:u w:val="single"/>
        </w:rPr>
        <w:t>Post - 16 pupils</w:t>
      </w:r>
    </w:p>
    <w:p w:rsidR="00DE05C0" w:rsidRPr="00DE05C0" w:rsidRDefault="00DE05C0" w:rsidP="00DE05C0">
      <w:pPr>
        <w:rPr>
          <w:rFonts w:cs="Arial"/>
        </w:rPr>
      </w:pPr>
      <w:r w:rsidRPr="00DE05C0">
        <w:rPr>
          <w:rFonts w:cs="Arial"/>
        </w:rPr>
        <w:t>The first £6,000 of funding for high needs post 16 pupils will either be provided by the E</w:t>
      </w:r>
      <w:r>
        <w:rPr>
          <w:rFonts w:cs="Arial"/>
        </w:rPr>
        <w:t>SFA if recognised as part of the</w:t>
      </w:r>
      <w:r w:rsidRPr="00DE05C0">
        <w:rPr>
          <w:rFonts w:cs="Arial"/>
        </w:rPr>
        <w:t xml:space="preserve"> 16-19 funding allocation, or where that is not the case by additional top-up funding from the LA on a per-pupil basis adjusted where a pupil is not present for the full year.</w:t>
      </w:r>
    </w:p>
    <w:p w:rsidR="00DE05C0" w:rsidRDefault="00DE05C0" w:rsidP="00DE05C0">
      <w:pPr>
        <w:rPr>
          <w:rFonts w:cs="Arial"/>
        </w:rPr>
      </w:pPr>
      <w:r w:rsidRPr="00DE05C0">
        <w:rPr>
          <w:rFonts w:cs="Arial"/>
        </w:rPr>
        <w:t>These pupils are excluded from the 1 in 40 pupils on roll rule as this only applies to pre - 16 pupils.</w:t>
      </w:r>
    </w:p>
    <w:p w:rsidR="00DE05C0" w:rsidRPr="00DE05C0" w:rsidRDefault="00DE05C0" w:rsidP="00DE05C0">
      <w:pPr>
        <w:rPr>
          <w:rFonts w:cs="Arial"/>
        </w:rPr>
      </w:pPr>
    </w:p>
    <w:p w:rsidR="00DE05C0" w:rsidRDefault="00DE05C0" w:rsidP="00F11D1C">
      <w:pPr>
        <w:rPr>
          <w:rFonts w:cs="Arial"/>
          <w:u w:val="single"/>
        </w:rPr>
      </w:pPr>
      <w:r w:rsidRPr="00DE05C0">
        <w:rPr>
          <w:rFonts w:cs="Arial"/>
          <w:u w:val="single"/>
        </w:rPr>
        <w:t>Top-Up Funding</w:t>
      </w:r>
    </w:p>
    <w:p w:rsidR="006E2698" w:rsidRDefault="00F11D1C" w:rsidP="00F11D1C">
      <w:pPr>
        <w:rPr>
          <w:rFonts w:cs="Arial"/>
        </w:rPr>
      </w:pPr>
      <w:r w:rsidRPr="00F11D1C">
        <w:rPr>
          <w:rFonts w:cs="Arial"/>
        </w:rPr>
        <w:t xml:space="preserve">Schools receive a schedule in March detailing the top up funding payable for all current pupils with an Education Health &amp; Care Plans (EHCP). Funding is paid in April with adjustments to this allocation being made each term to reflect high needs pupil’s movements in and out of the school or changes to bandings. </w:t>
      </w:r>
    </w:p>
    <w:p w:rsidR="006E2698" w:rsidRDefault="006E2698" w:rsidP="00F11D1C">
      <w:pPr>
        <w:rPr>
          <w:rFonts w:cs="Arial"/>
        </w:rPr>
      </w:pPr>
    </w:p>
    <w:p w:rsidR="00DE05C0" w:rsidRPr="0097204F" w:rsidRDefault="00DE05C0" w:rsidP="00E54DD2">
      <w:pPr>
        <w:pStyle w:val="Heading1"/>
        <w:rPr>
          <w:rFonts w:cs="Arial"/>
        </w:rPr>
      </w:pPr>
      <w:r w:rsidRPr="0097204F">
        <w:rPr>
          <w:rFonts w:cs="Arial"/>
        </w:rPr>
        <w:t>6th Form funding</w:t>
      </w:r>
    </w:p>
    <w:p w:rsidR="00DE05C0" w:rsidRPr="00DE05C0" w:rsidRDefault="00DE05C0" w:rsidP="00DE05C0">
      <w:pPr>
        <w:rPr>
          <w:rFonts w:cs="Arial"/>
        </w:rPr>
      </w:pPr>
      <w:r w:rsidRPr="00DE05C0">
        <w:rPr>
          <w:rFonts w:cs="Arial"/>
        </w:rPr>
        <w:t>There is a national funding formula used by the ESFA to allocate post 16 funding to fund programme costs. The ESFA funding formula incorporates factors including student numbers, student retention, higher cost subjects, disadvantaged students and area costs.</w:t>
      </w:r>
    </w:p>
    <w:p w:rsidR="00DE05C0" w:rsidRPr="00DE05C0" w:rsidRDefault="00DE05C0" w:rsidP="00DE05C0">
      <w:pPr>
        <w:rPr>
          <w:rFonts w:cs="Arial"/>
        </w:rPr>
      </w:pPr>
      <w:r w:rsidRPr="00DE05C0">
        <w:rPr>
          <w:rFonts w:cs="Arial"/>
        </w:rPr>
        <w:t>This is supplemented by additional funding for high needs students, bursaries and other financial support awarded to individual students.</w:t>
      </w:r>
    </w:p>
    <w:p w:rsidR="00DE05C0" w:rsidRPr="00DE05C0" w:rsidRDefault="00DE05C0" w:rsidP="00DE05C0">
      <w:pPr>
        <w:rPr>
          <w:rFonts w:cs="Arial"/>
        </w:rPr>
      </w:pPr>
    </w:p>
    <w:p w:rsidR="00DE05C0" w:rsidRPr="00DE05C0" w:rsidRDefault="00DE05C0" w:rsidP="00DE05C0">
      <w:pPr>
        <w:rPr>
          <w:rFonts w:cs="Arial"/>
        </w:rPr>
      </w:pPr>
      <w:r w:rsidRPr="00DE05C0">
        <w:rPr>
          <w:rFonts w:cs="Arial"/>
        </w:rPr>
        <w:t>The academic year formula allocations will be provided to schools direct by ESFA. The  allocations are calculated on academic years and for maintained schools are adjusted to financial year allocations by applying the pro-rata calculation of 4/12th of current year funding and 8/12th of next academic year’s funding.</w:t>
      </w:r>
    </w:p>
    <w:p w:rsidR="00DE05C0" w:rsidRPr="00DE05C0" w:rsidRDefault="00DE05C0" w:rsidP="00DE05C0">
      <w:pPr>
        <w:rPr>
          <w:rFonts w:cs="Arial"/>
        </w:rPr>
      </w:pPr>
    </w:p>
    <w:p w:rsidR="00DE05C0" w:rsidRPr="00DE05C0" w:rsidRDefault="00DE05C0" w:rsidP="00DE05C0">
      <w:pPr>
        <w:rPr>
          <w:rFonts w:cs="Arial"/>
        </w:rPr>
      </w:pPr>
      <w:r w:rsidRPr="00DE05C0">
        <w:rPr>
          <w:rFonts w:cs="Arial"/>
        </w:rPr>
        <w:t xml:space="preserve">The provisional allocations for each academic year are due from ESFA in March. </w:t>
      </w:r>
    </w:p>
    <w:p w:rsidR="00DE05C0" w:rsidRPr="00DE05C0" w:rsidRDefault="00DE05C0" w:rsidP="00DE05C0">
      <w:pPr>
        <w:rPr>
          <w:rFonts w:cs="Arial"/>
        </w:rPr>
      </w:pPr>
    </w:p>
    <w:p w:rsidR="00F11D1C" w:rsidRDefault="00DE05C0" w:rsidP="00DE05C0">
      <w:pPr>
        <w:rPr>
          <w:rFonts w:cs="Arial"/>
        </w:rPr>
      </w:pPr>
      <w:r w:rsidRPr="00DE05C0">
        <w:rPr>
          <w:rFonts w:cs="Arial"/>
        </w:rPr>
        <w:t>Post 16 resource unit place funding is received with the 6th form allocation from ESFA. Funding is fixed at £6,000 per pre 16 place, £6,000 per post 16 place. Final place numbers will be confirmed by the Council in March.</w:t>
      </w:r>
    </w:p>
    <w:p w:rsidR="00CD4899" w:rsidRDefault="00CD4899" w:rsidP="00DE05C0">
      <w:pPr>
        <w:rPr>
          <w:rFonts w:cs="Arial"/>
        </w:rPr>
      </w:pPr>
    </w:p>
    <w:p w:rsidR="00CD4899" w:rsidRDefault="00CD4899" w:rsidP="00DE05C0">
      <w:pPr>
        <w:rPr>
          <w:rFonts w:cs="Arial"/>
        </w:rPr>
      </w:pPr>
      <w:r>
        <w:rPr>
          <w:rFonts w:cs="Arial"/>
        </w:rPr>
        <w:t>Any funding queries should be raised with the DfE</w:t>
      </w:r>
    </w:p>
    <w:p w:rsidR="00CD4899" w:rsidRDefault="00CD4899" w:rsidP="00DE05C0">
      <w:pPr>
        <w:rPr>
          <w:rFonts w:cs="Arial"/>
        </w:rPr>
      </w:pPr>
    </w:p>
    <w:p w:rsidR="007D74C6" w:rsidRDefault="007D74C6" w:rsidP="00DE05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157AD" w:rsidRPr="00FF265C" w:rsidTr="005F7A11">
        <w:tc>
          <w:tcPr>
            <w:tcW w:w="9855" w:type="dxa"/>
            <w:shd w:val="clear" w:color="auto" w:fill="4F6228"/>
          </w:tcPr>
          <w:p w:rsidR="005157AD" w:rsidRPr="00FF265C" w:rsidRDefault="005157AD" w:rsidP="005F7A11">
            <w:pPr>
              <w:rPr>
                <w:rFonts w:cs="Arial"/>
                <w:b/>
                <w:color w:val="F2F2F2"/>
                <w:sz w:val="28"/>
              </w:rPr>
            </w:pPr>
            <w:r>
              <w:rPr>
                <w:rFonts w:cs="Arial"/>
                <w:b/>
                <w:color w:val="F2F2F2"/>
                <w:sz w:val="28"/>
              </w:rPr>
              <w:t>ESFA Grants</w:t>
            </w:r>
          </w:p>
        </w:tc>
      </w:tr>
    </w:tbl>
    <w:p w:rsidR="005157AD" w:rsidRPr="00DE05C0" w:rsidRDefault="005157AD" w:rsidP="00DE05C0">
      <w:pPr>
        <w:rPr>
          <w:rFonts w:cs="Arial"/>
        </w:rPr>
      </w:pPr>
    </w:p>
    <w:p w:rsidR="003941BF" w:rsidRPr="00105CAC" w:rsidRDefault="003941BF" w:rsidP="00CD4899">
      <w:pPr>
        <w:pStyle w:val="Heading1"/>
        <w:rPr>
          <w:rFonts w:cs="Arial"/>
          <w:b w:val="0"/>
        </w:rPr>
      </w:pPr>
      <w:r w:rsidRPr="00105CAC">
        <w:rPr>
          <w:rFonts w:cs="Arial"/>
        </w:rPr>
        <w:t>Pupil Premium Grant (PPG)</w:t>
      </w:r>
      <w:r w:rsidR="00AE0AA0" w:rsidRPr="00105CAC">
        <w:rPr>
          <w:rFonts w:cs="Arial"/>
        </w:rPr>
        <w:t xml:space="preserve"> </w:t>
      </w:r>
    </w:p>
    <w:p w:rsidR="00E41947" w:rsidRPr="00E41947" w:rsidRDefault="00E41947" w:rsidP="003941BF">
      <w:pPr>
        <w:rPr>
          <w:rFonts w:cs="Arial"/>
        </w:rPr>
      </w:pPr>
      <w:r w:rsidRPr="00E41947">
        <w:rPr>
          <w:rFonts w:cs="Arial"/>
        </w:rPr>
        <w:t xml:space="preserve">The Pupil Premium is additional funding allocated to schools depending on the number of pupils eligible for Free School Meals (FSMs). The aim of this policy is to improve the outcomes of these pupils. The premium also includes funding to support </w:t>
      </w:r>
      <w:r w:rsidR="00CD4899">
        <w:rPr>
          <w:rFonts w:cs="Arial"/>
        </w:rPr>
        <w:t xml:space="preserve">Looked After Children (LAC) </w:t>
      </w:r>
      <w:r w:rsidRPr="00E41947">
        <w:rPr>
          <w:rFonts w:cs="Arial"/>
        </w:rPr>
        <w:t>and also children of service families.</w:t>
      </w:r>
    </w:p>
    <w:p w:rsidR="00AA2F44" w:rsidRDefault="00AA2F44" w:rsidP="003941BF">
      <w:pPr>
        <w:rPr>
          <w:rFonts w:cs="Arial"/>
          <w:b/>
        </w:rPr>
      </w:pPr>
    </w:p>
    <w:p w:rsidR="00AA2F44" w:rsidRPr="00AA2F44" w:rsidRDefault="00AA2F44" w:rsidP="003941BF">
      <w:pPr>
        <w:rPr>
          <w:rFonts w:cs="Arial"/>
        </w:rPr>
      </w:pPr>
      <w:r w:rsidRPr="00AA2F44">
        <w:rPr>
          <w:rFonts w:cs="Arial"/>
        </w:rPr>
        <w:t>The DfE has announced th</w:t>
      </w:r>
      <w:r w:rsidR="00F11D1C">
        <w:rPr>
          <w:rFonts w:cs="Arial"/>
        </w:rPr>
        <w:t>at</w:t>
      </w:r>
      <w:r w:rsidR="00FE52B0">
        <w:rPr>
          <w:rFonts w:cs="Arial"/>
        </w:rPr>
        <w:t xml:space="preserve"> the</w:t>
      </w:r>
      <w:r w:rsidR="00F11D1C">
        <w:rPr>
          <w:rFonts w:cs="Arial"/>
        </w:rPr>
        <w:t xml:space="preserve"> Pupil Premium g</w:t>
      </w:r>
      <w:r w:rsidRPr="00AA2F44">
        <w:rPr>
          <w:rFonts w:cs="Arial"/>
        </w:rPr>
        <w:t xml:space="preserve">rants </w:t>
      </w:r>
      <w:r w:rsidR="00790AF9">
        <w:rPr>
          <w:rFonts w:cs="Arial"/>
        </w:rPr>
        <w:t>will continue for 2022/</w:t>
      </w:r>
      <w:r w:rsidR="00FE52B0">
        <w:rPr>
          <w:rFonts w:cs="Arial"/>
        </w:rPr>
        <w:t>23 financial year.</w:t>
      </w:r>
      <w:r w:rsidR="00105CAC">
        <w:rPr>
          <w:rFonts w:cs="Arial"/>
        </w:rPr>
        <w:t xml:space="preserve"> T</w:t>
      </w:r>
      <w:r>
        <w:rPr>
          <w:rFonts w:cs="Arial"/>
        </w:rPr>
        <w:t xml:space="preserve">he </w:t>
      </w:r>
      <w:r w:rsidRPr="00AA2F44">
        <w:rPr>
          <w:rFonts w:cs="Arial"/>
        </w:rPr>
        <w:t>allocations will be calculated based on the number of eligible pupils recorded by schools</w:t>
      </w:r>
      <w:r w:rsidR="00105CAC">
        <w:rPr>
          <w:rFonts w:cs="Arial"/>
        </w:rPr>
        <w:t xml:space="preserve"> in their October 2021</w:t>
      </w:r>
      <w:r w:rsidRPr="00AA2F44">
        <w:rPr>
          <w:rFonts w:cs="Arial"/>
        </w:rPr>
        <w:t xml:space="preserve"> </w:t>
      </w:r>
      <w:r w:rsidR="00105CAC">
        <w:rPr>
          <w:rFonts w:cs="Arial"/>
        </w:rPr>
        <w:t>census.</w:t>
      </w:r>
      <w:r w:rsidRPr="00AA2F44">
        <w:rPr>
          <w:rFonts w:cs="Arial"/>
        </w:rPr>
        <w:t xml:space="preserve"> </w:t>
      </w:r>
    </w:p>
    <w:p w:rsidR="00AA2F44" w:rsidRDefault="00AA2F44" w:rsidP="003941BF">
      <w:pPr>
        <w:rPr>
          <w:rFonts w:cs="Arial"/>
          <w:b/>
        </w:rPr>
      </w:pPr>
    </w:p>
    <w:tbl>
      <w:tblPr>
        <w:tblStyle w:val="TableGrid"/>
        <w:tblW w:w="0" w:type="auto"/>
        <w:tblInd w:w="1421" w:type="dxa"/>
        <w:tblLook w:val="04A0" w:firstRow="1" w:lastRow="0" w:firstColumn="1" w:lastColumn="0" w:noHBand="0" w:noVBand="1"/>
      </w:tblPr>
      <w:tblGrid>
        <w:gridCol w:w="4984"/>
        <w:gridCol w:w="1928"/>
      </w:tblGrid>
      <w:tr w:rsidR="00AA2F44" w:rsidTr="00CD4899">
        <w:tc>
          <w:tcPr>
            <w:tcW w:w="4984" w:type="dxa"/>
            <w:shd w:val="clear" w:color="auto" w:fill="E7E6E6" w:themeFill="background2"/>
          </w:tcPr>
          <w:p w:rsidR="00AA2F44" w:rsidRPr="00AA2F44" w:rsidRDefault="00AA2F44" w:rsidP="003941BF">
            <w:pPr>
              <w:rPr>
                <w:rFonts w:cs="Arial"/>
              </w:rPr>
            </w:pPr>
            <w:r w:rsidRPr="00AA2F44">
              <w:rPr>
                <w:rFonts w:cs="Arial"/>
              </w:rPr>
              <w:t>Pupil Premium</w:t>
            </w:r>
          </w:p>
        </w:tc>
        <w:tc>
          <w:tcPr>
            <w:tcW w:w="1928" w:type="dxa"/>
            <w:shd w:val="clear" w:color="auto" w:fill="E7E6E6" w:themeFill="background2"/>
          </w:tcPr>
          <w:p w:rsidR="00AA2F44" w:rsidRPr="00AA2F44" w:rsidRDefault="00790AF9" w:rsidP="00CD4899">
            <w:pPr>
              <w:jc w:val="center"/>
              <w:rPr>
                <w:rFonts w:cs="Arial"/>
              </w:rPr>
            </w:pPr>
            <w:r>
              <w:rPr>
                <w:rFonts w:cs="Arial"/>
              </w:rPr>
              <w:t>2022/</w:t>
            </w:r>
            <w:r w:rsidR="00105CAC">
              <w:rPr>
                <w:rFonts w:cs="Arial"/>
              </w:rPr>
              <w:t>23</w:t>
            </w:r>
            <w:r w:rsidR="00AA2F44" w:rsidRPr="00AA2F44">
              <w:rPr>
                <w:rFonts w:cs="Arial"/>
              </w:rPr>
              <w:t xml:space="preserve"> rate</w:t>
            </w:r>
          </w:p>
        </w:tc>
      </w:tr>
      <w:tr w:rsidR="00AA2F44" w:rsidTr="00CD4899">
        <w:tc>
          <w:tcPr>
            <w:tcW w:w="4984" w:type="dxa"/>
          </w:tcPr>
          <w:p w:rsidR="00AA2F44" w:rsidRPr="00B81BB0" w:rsidRDefault="00E41947" w:rsidP="003941BF">
            <w:pPr>
              <w:rPr>
                <w:rFonts w:cs="Arial"/>
              </w:rPr>
            </w:pPr>
            <w:r w:rsidRPr="00B81BB0">
              <w:rPr>
                <w:rFonts w:cs="Arial"/>
              </w:rPr>
              <w:t>FSM Primary pupil</w:t>
            </w:r>
          </w:p>
        </w:tc>
        <w:tc>
          <w:tcPr>
            <w:tcW w:w="1928" w:type="dxa"/>
          </w:tcPr>
          <w:p w:rsidR="00AA2F44" w:rsidRPr="00B81BB0" w:rsidRDefault="00105CAC" w:rsidP="00CD4899">
            <w:pPr>
              <w:jc w:val="center"/>
              <w:rPr>
                <w:rFonts w:cs="Arial"/>
              </w:rPr>
            </w:pPr>
            <w:r>
              <w:rPr>
                <w:rFonts w:cs="Arial"/>
              </w:rPr>
              <w:t>£1385</w:t>
            </w:r>
          </w:p>
        </w:tc>
      </w:tr>
      <w:tr w:rsidR="00AA2F44" w:rsidTr="00CD4899">
        <w:tc>
          <w:tcPr>
            <w:tcW w:w="4984" w:type="dxa"/>
          </w:tcPr>
          <w:p w:rsidR="00AA2F44" w:rsidRPr="00B81BB0" w:rsidRDefault="00E41947" w:rsidP="003941BF">
            <w:pPr>
              <w:rPr>
                <w:rFonts w:cs="Arial"/>
              </w:rPr>
            </w:pPr>
            <w:r w:rsidRPr="00B81BB0">
              <w:rPr>
                <w:rFonts w:cs="Arial"/>
              </w:rPr>
              <w:t>FSM Secondary Pupil</w:t>
            </w:r>
          </w:p>
        </w:tc>
        <w:tc>
          <w:tcPr>
            <w:tcW w:w="1928" w:type="dxa"/>
          </w:tcPr>
          <w:p w:rsidR="00AA2F44" w:rsidRPr="00B81BB0" w:rsidRDefault="00105CAC" w:rsidP="00CD4899">
            <w:pPr>
              <w:jc w:val="center"/>
              <w:rPr>
                <w:rFonts w:cs="Arial"/>
              </w:rPr>
            </w:pPr>
            <w:r>
              <w:rPr>
                <w:rFonts w:cs="Arial"/>
              </w:rPr>
              <w:t>£98</w:t>
            </w:r>
            <w:r w:rsidR="00E41947" w:rsidRPr="00B81BB0">
              <w:rPr>
                <w:rFonts w:cs="Arial"/>
              </w:rPr>
              <w:t>5</w:t>
            </w:r>
          </w:p>
        </w:tc>
      </w:tr>
      <w:tr w:rsidR="00AA2F44" w:rsidTr="00CD4899">
        <w:tc>
          <w:tcPr>
            <w:tcW w:w="4984" w:type="dxa"/>
          </w:tcPr>
          <w:p w:rsidR="00AA2F44" w:rsidRPr="00B81BB0" w:rsidRDefault="00E41947" w:rsidP="003941BF">
            <w:pPr>
              <w:rPr>
                <w:rFonts w:cs="Arial"/>
              </w:rPr>
            </w:pPr>
            <w:r w:rsidRPr="00B81BB0">
              <w:rPr>
                <w:rFonts w:cs="Arial"/>
              </w:rPr>
              <w:t>Looked After Child (LAC)</w:t>
            </w:r>
          </w:p>
        </w:tc>
        <w:tc>
          <w:tcPr>
            <w:tcW w:w="1928" w:type="dxa"/>
          </w:tcPr>
          <w:p w:rsidR="00AA2F44" w:rsidRPr="00B81BB0" w:rsidRDefault="00105CAC" w:rsidP="00CD4899">
            <w:pPr>
              <w:jc w:val="center"/>
              <w:rPr>
                <w:rFonts w:cs="Arial"/>
              </w:rPr>
            </w:pPr>
            <w:r>
              <w:rPr>
                <w:rFonts w:cs="Arial"/>
              </w:rPr>
              <w:t>£2410</w:t>
            </w:r>
          </w:p>
        </w:tc>
      </w:tr>
      <w:tr w:rsidR="00AA2F44" w:rsidTr="00CD4899">
        <w:tc>
          <w:tcPr>
            <w:tcW w:w="4984" w:type="dxa"/>
          </w:tcPr>
          <w:p w:rsidR="00AA2F44" w:rsidRPr="00B81BB0" w:rsidRDefault="00E41947" w:rsidP="003941BF">
            <w:pPr>
              <w:rPr>
                <w:rFonts w:cs="Arial"/>
              </w:rPr>
            </w:pPr>
            <w:r w:rsidRPr="00B81BB0">
              <w:rPr>
                <w:rFonts w:cs="Arial"/>
              </w:rPr>
              <w:t>Post  LAC</w:t>
            </w:r>
          </w:p>
        </w:tc>
        <w:tc>
          <w:tcPr>
            <w:tcW w:w="1928" w:type="dxa"/>
          </w:tcPr>
          <w:p w:rsidR="00AA2F44" w:rsidRPr="00B81BB0" w:rsidRDefault="00105CAC" w:rsidP="00CD4899">
            <w:pPr>
              <w:jc w:val="center"/>
              <w:rPr>
                <w:rFonts w:cs="Arial"/>
              </w:rPr>
            </w:pPr>
            <w:r>
              <w:rPr>
                <w:rFonts w:cs="Arial"/>
              </w:rPr>
              <w:t>£2410</w:t>
            </w:r>
          </w:p>
        </w:tc>
      </w:tr>
      <w:tr w:rsidR="00AA2F44" w:rsidTr="00CD4899">
        <w:tc>
          <w:tcPr>
            <w:tcW w:w="4984" w:type="dxa"/>
          </w:tcPr>
          <w:p w:rsidR="00AA2F44" w:rsidRPr="00B81BB0" w:rsidRDefault="00E41947" w:rsidP="003941BF">
            <w:pPr>
              <w:rPr>
                <w:rFonts w:cs="Arial"/>
              </w:rPr>
            </w:pPr>
            <w:r w:rsidRPr="00B81BB0">
              <w:rPr>
                <w:rFonts w:cs="Arial"/>
              </w:rPr>
              <w:t>Service premium</w:t>
            </w:r>
          </w:p>
        </w:tc>
        <w:tc>
          <w:tcPr>
            <w:tcW w:w="1928" w:type="dxa"/>
          </w:tcPr>
          <w:p w:rsidR="00AA2F44" w:rsidRPr="00B81BB0" w:rsidRDefault="00105CAC" w:rsidP="00CD4899">
            <w:pPr>
              <w:jc w:val="center"/>
              <w:rPr>
                <w:rFonts w:cs="Arial"/>
              </w:rPr>
            </w:pPr>
            <w:r>
              <w:rPr>
                <w:rFonts w:cs="Arial"/>
              </w:rPr>
              <w:t>£32</w:t>
            </w:r>
            <w:r w:rsidR="00E41947" w:rsidRPr="00B81BB0">
              <w:rPr>
                <w:rFonts w:cs="Arial"/>
              </w:rPr>
              <w:t>0</w:t>
            </w:r>
          </w:p>
        </w:tc>
      </w:tr>
    </w:tbl>
    <w:p w:rsidR="00AA2F44" w:rsidRPr="00F83188" w:rsidRDefault="00AA2F44" w:rsidP="003941BF">
      <w:pPr>
        <w:rPr>
          <w:rFonts w:cs="Arial"/>
          <w:b/>
        </w:rPr>
      </w:pPr>
    </w:p>
    <w:p w:rsidR="005218E6" w:rsidRDefault="00E41947" w:rsidP="003941BF">
      <w:pPr>
        <w:rPr>
          <w:rFonts w:cs="Arial"/>
        </w:rPr>
      </w:pPr>
      <w:r>
        <w:rPr>
          <w:rFonts w:cs="Arial"/>
        </w:rPr>
        <w:t>T</w:t>
      </w:r>
      <w:r w:rsidRPr="00E41947">
        <w:rPr>
          <w:rFonts w:cs="Arial"/>
        </w:rPr>
        <w:t>he DfE has provided the number of pupils by school previously eligible for FSM, as per past census data. This information is available</w:t>
      </w:r>
      <w:r w:rsidR="00BE4679">
        <w:rPr>
          <w:rFonts w:cs="Arial"/>
        </w:rPr>
        <w:t xml:space="preserve"> via </w:t>
      </w:r>
      <w:hyperlink r:id="rId12" w:history="1">
        <w:r w:rsidR="00BE4679" w:rsidRPr="00BE4679">
          <w:rPr>
            <w:rStyle w:val="Hyperlink"/>
            <w:rFonts w:cs="Arial"/>
          </w:rPr>
          <w:t>Get Information About Pupils (GIAP)</w:t>
        </w:r>
        <w:r w:rsidRPr="00BE4679">
          <w:rPr>
            <w:rStyle w:val="Hyperlink"/>
            <w:rFonts w:cs="Arial"/>
          </w:rPr>
          <w:t>.</w:t>
        </w:r>
      </w:hyperlink>
    </w:p>
    <w:p w:rsidR="005218E6" w:rsidRDefault="005218E6" w:rsidP="003941BF">
      <w:pPr>
        <w:rPr>
          <w:rFonts w:cs="Arial"/>
        </w:rPr>
      </w:pPr>
    </w:p>
    <w:p w:rsidR="005218E6" w:rsidRPr="00B8070F" w:rsidRDefault="00E41947" w:rsidP="00CD4899">
      <w:pPr>
        <w:pStyle w:val="Heading1"/>
        <w:rPr>
          <w:rFonts w:cs="Arial"/>
          <w:b w:val="0"/>
        </w:rPr>
      </w:pPr>
      <w:r w:rsidRPr="00B8070F">
        <w:rPr>
          <w:rFonts w:cs="Arial"/>
        </w:rPr>
        <w:lastRenderedPageBreak/>
        <w:t>Primary PE and Sport Premium</w:t>
      </w:r>
      <w:r w:rsidR="001E71D4" w:rsidRPr="00B8070F">
        <w:rPr>
          <w:rFonts w:cs="Arial"/>
        </w:rPr>
        <w:t xml:space="preserve"> </w:t>
      </w:r>
    </w:p>
    <w:p w:rsidR="005218E6" w:rsidRDefault="00E41947" w:rsidP="003941BF">
      <w:pPr>
        <w:rPr>
          <w:rFonts w:cs="Arial"/>
        </w:rPr>
      </w:pPr>
      <w:r w:rsidRPr="00E41947">
        <w:rPr>
          <w:rFonts w:cs="Arial"/>
        </w:rPr>
        <w:t>Th</w:t>
      </w:r>
      <w:r>
        <w:rPr>
          <w:rFonts w:cs="Arial"/>
        </w:rPr>
        <w:t>is</w:t>
      </w:r>
      <w:r w:rsidRPr="00E41947">
        <w:rPr>
          <w:rFonts w:cs="Arial"/>
        </w:rPr>
        <w:t xml:space="preserve"> premium </w:t>
      </w:r>
      <w:r>
        <w:rPr>
          <w:rFonts w:cs="Arial"/>
        </w:rPr>
        <w:t>is to</w:t>
      </w:r>
      <w:r w:rsidRPr="00E41947">
        <w:rPr>
          <w:rFonts w:cs="Arial"/>
        </w:rPr>
        <w:t xml:space="preserve"> be used to fund improvements to the provision of PE and sport, for the benefit of primary-aged pupils, in the academic year to give them the opportunity to develop a healthy lifestyle.</w:t>
      </w:r>
      <w:r w:rsidR="005110B3" w:rsidRPr="005110B3">
        <w:t xml:space="preserve"> </w:t>
      </w:r>
      <w:r w:rsidR="005110B3" w:rsidRPr="005110B3">
        <w:rPr>
          <w:rFonts w:cs="Arial"/>
        </w:rPr>
        <w:t xml:space="preserve">The premium for the academic year is funded over two instalments. For the academic year, the first payment </w:t>
      </w:r>
      <w:r w:rsidR="005110B3">
        <w:rPr>
          <w:rFonts w:cs="Arial"/>
        </w:rPr>
        <w:t>is October/</w:t>
      </w:r>
      <w:r w:rsidR="005110B3" w:rsidRPr="005110B3">
        <w:rPr>
          <w:rFonts w:cs="Arial"/>
        </w:rPr>
        <w:t>November while the second instalment will fall in the first half of the following financial year, due May time.</w:t>
      </w:r>
    </w:p>
    <w:p w:rsidR="005218E6" w:rsidRDefault="005218E6" w:rsidP="003941BF">
      <w:pPr>
        <w:rPr>
          <w:rFonts w:cs="Arial"/>
        </w:rPr>
      </w:pPr>
    </w:p>
    <w:p w:rsidR="00547F58" w:rsidRDefault="005110B3" w:rsidP="005110B3">
      <w:pPr>
        <w:rPr>
          <w:rFonts w:cs="Arial"/>
        </w:rPr>
      </w:pPr>
      <w:r w:rsidRPr="005110B3">
        <w:rPr>
          <w:rFonts w:cs="Arial"/>
        </w:rPr>
        <w:t xml:space="preserve">Allocations for the academic year </w:t>
      </w:r>
      <w:r w:rsidR="00BE4679">
        <w:rPr>
          <w:rFonts w:cs="Arial"/>
        </w:rPr>
        <w:t>2021-22</w:t>
      </w:r>
      <w:r>
        <w:rPr>
          <w:rFonts w:cs="Arial"/>
        </w:rPr>
        <w:t xml:space="preserve"> used</w:t>
      </w:r>
      <w:r w:rsidRPr="005110B3">
        <w:rPr>
          <w:rFonts w:cs="Arial"/>
        </w:rPr>
        <w:t xml:space="preserve"> the number of pupils in years 1 to 6 (or aged 5 to 10 years where pupils are not recorded by year group), as recorded on January </w:t>
      </w:r>
      <w:r w:rsidR="00B8070F">
        <w:rPr>
          <w:rFonts w:cs="Arial"/>
        </w:rPr>
        <w:t xml:space="preserve">2021 </w:t>
      </w:r>
      <w:r w:rsidRPr="005110B3">
        <w:rPr>
          <w:rFonts w:cs="Arial"/>
        </w:rPr>
        <w:t>census, as follows:</w:t>
      </w:r>
    </w:p>
    <w:p w:rsidR="00B8070F" w:rsidRPr="005110B3" w:rsidRDefault="00B8070F" w:rsidP="005110B3">
      <w:pPr>
        <w:rPr>
          <w:rFonts w:cs="Arial"/>
        </w:rPr>
      </w:pPr>
    </w:p>
    <w:p w:rsidR="005110B3" w:rsidRPr="005110B3" w:rsidRDefault="005110B3" w:rsidP="005110B3">
      <w:pPr>
        <w:rPr>
          <w:rFonts w:cs="Arial"/>
        </w:rPr>
      </w:pPr>
      <w:r w:rsidRPr="005110B3">
        <w:rPr>
          <w:rFonts w:cs="Arial"/>
        </w:rPr>
        <w:t>• schools with 17 or more pupils receive £16,000 plus £10 per pupil</w:t>
      </w:r>
    </w:p>
    <w:p w:rsidR="005110B3" w:rsidRDefault="005110B3" w:rsidP="005110B3">
      <w:pPr>
        <w:rPr>
          <w:rFonts w:cs="Arial"/>
        </w:rPr>
      </w:pPr>
    </w:p>
    <w:p w:rsidR="005110B3" w:rsidRDefault="00B81BB0" w:rsidP="005110B3">
      <w:pPr>
        <w:rPr>
          <w:rFonts w:cs="Arial"/>
        </w:rPr>
      </w:pPr>
      <w:r>
        <w:rPr>
          <w:rFonts w:cs="Arial"/>
        </w:rPr>
        <w:t>The</w:t>
      </w:r>
      <w:r w:rsidR="005110B3" w:rsidRPr="005110B3">
        <w:rPr>
          <w:rFonts w:cs="Arial"/>
        </w:rPr>
        <w:t xml:space="preserve"> </w:t>
      </w:r>
      <w:r w:rsidR="005110B3">
        <w:rPr>
          <w:rFonts w:cs="Arial"/>
        </w:rPr>
        <w:t>continuation of the</w:t>
      </w:r>
      <w:r>
        <w:rPr>
          <w:rFonts w:cs="Arial"/>
        </w:rPr>
        <w:t xml:space="preserve"> </w:t>
      </w:r>
      <w:r w:rsidRPr="00B81BB0">
        <w:rPr>
          <w:rFonts w:cs="Arial"/>
        </w:rPr>
        <w:t>Primary PE and Sport</w:t>
      </w:r>
      <w:r w:rsidR="005110B3">
        <w:rPr>
          <w:rFonts w:cs="Arial"/>
        </w:rPr>
        <w:t xml:space="preserve"> Premi</w:t>
      </w:r>
      <w:r>
        <w:rPr>
          <w:rFonts w:cs="Arial"/>
        </w:rPr>
        <w:t>u</w:t>
      </w:r>
      <w:r w:rsidR="005110B3">
        <w:rPr>
          <w:rFonts w:cs="Arial"/>
        </w:rPr>
        <w:t>m</w:t>
      </w:r>
      <w:r w:rsidR="00C16A82">
        <w:rPr>
          <w:rFonts w:cs="Arial"/>
        </w:rPr>
        <w:t xml:space="preserve"> for</w:t>
      </w:r>
      <w:r w:rsidR="00B8070F">
        <w:rPr>
          <w:rFonts w:cs="Arial"/>
        </w:rPr>
        <w:t xml:space="preserve"> 2022-23</w:t>
      </w:r>
      <w:r w:rsidR="005110B3">
        <w:rPr>
          <w:rFonts w:cs="Arial"/>
        </w:rPr>
        <w:t xml:space="preserve"> </w:t>
      </w:r>
      <w:r w:rsidR="00C16A82">
        <w:rPr>
          <w:rFonts w:cs="Arial"/>
        </w:rPr>
        <w:t>has not yet been confirmed by the DfE</w:t>
      </w:r>
      <w:r w:rsidR="005110B3" w:rsidRPr="005110B3">
        <w:rPr>
          <w:rFonts w:cs="Arial"/>
        </w:rPr>
        <w:t>.</w:t>
      </w:r>
    </w:p>
    <w:p w:rsidR="005157AD" w:rsidRDefault="005157AD" w:rsidP="005110B3">
      <w:pPr>
        <w:rPr>
          <w:rFonts w:cs="Arial"/>
        </w:rPr>
      </w:pPr>
    </w:p>
    <w:p w:rsidR="005157AD" w:rsidRPr="001A0387" w:rsidRDefault="005157AD" w:rsidP="00CD4899">
      <w:pPr>
        <w:pStyle w:val="Heading1"/>
        <w:rPr>
          <w:rFonts w:cs="Arial"/>
          <w:b w:val="0"/>
        </w:rPr>
      </w:pPr>
      <w:r w:rsidRPr="001A0387">
        <w:rPr>
          <w:rFonts w:cs="Arial"/>
        </w:rPr>
        <w:t>Universal Infant F</w:t>
      </w:r>
      <w:r w:rsidR="001E71D4" w:rsidRPr="001A0387">
        <w:rPr>
          <w:rFonts w:cs="Arial"/>
        </w:rPr>
        <w:t xml:space="preserve">ree School Meals (UIFSM) </w:t>
      </w:r>
    </w:p>
    <w:p w:rsidR="005157AD" w:rsidRDefault="0007461E" w:rsidP="005157AD">
      <w:pPr>
        <w:rPr>
          <w:rFonts w:cs="Arial"/>
        </w:rPr>
      </w:pPr>
      <w:r w:rsidRPr="0007461E">
        <w:rPr>
          <w:rFonts w:cs="Arial"/>
        </w:rPr>
        <w:t>Universal infant free school meals (UIFSM) provides funding for schools to offer free school meals to pupils in reception, year 1, and year 2.</w:t>
      </w:r>
      <w:r>
        <w:rPr>
          <w:rFonts w:cs="Arial"/>
        </w:rPr>
        <w:t xml:space="preserve"> </w:t>
      </w:r>
      <w:r w:rsidR="005157AD">
        <w:rPr>
          <w:rFonts w:cs="Arial"/>
        </w:rPr>
        <w:t xml:space="preserve">The UIFSM </w:t>
      </w:r>
      <w:r w:rsidR="005157AD" w:rsidRPr="005157AD">
        <w:rPr>
          <w:rFonts w:cs="Arial"/>
        </w:rPr>
        <w:t>grant is based on an academic year. Each meal taken by an eligible pupil attracts £2.34. An allocation assumes that pupils will take 190 school meals over an academic year, providing £444.60 per eligible pupil.</w:t>
      </w:r>
    </w:p>
    <w:p w:rsidR="005157AD" w:rsidRPr="005157AD" w:rsidRDefault="005157AD" w:rsidP="005157AD">
      <w:pPr>
        <w:rPr>
          <w:rFonts w:cs="Arial"/>
        </w:rPr>
      </w:pPr>
    </w:p>
    <w:p w:rsidR="005157AD" w:rsidRDefault="005157AD" w:rsidP="005157AD">
      <w:pPr>
        <w:rPr>
          <w:rFonts w:cs="Arial"/>
        </w:rPr>
      </w:pPr>
      <w:r w:rsidRPr="005157AD">
        <w:rPr>
          <w:rFonts w:cs="Arial"/>
        </w:rPr>
        <w:t>Pupil numbers are based on the UIFSM eligible pupils recorded as taking a meal on the October and January census of the previous academic year.</w:t>
      </w:r>
      <w:r w:rsidR="004C3622">
        <w:rPr>
          <w:rFonts w:cs="Arial"/>
        </w:rPr>
        <w:t xml:space="preserve"> </w:t>
      </w:r>
      <w:r w:rsidRPr="005157AD">
        <w:rPr>
          <w:rFonts w:cs="Arial"/>
        </w:rPr>
        <w:t>The April - August funding is an actual, the Sept</w:t>
      </w:r>
      <w:r w:rsidR="001A0387">
        <w:rPr>
          <w:rFonts w:cs="Arial"/>
        </w:rPr>
        <w:t xml:space="preserve"> </w:t>
      </w:r>
      <w:r w:rsidRPr="005157AD">
        <w:rPr>
          <w:rFonts w:cs="Arial"/>
        </w:rPr>
        <w:t xml:space="preserve">- March payment an estimate based on the previous years' census figures. This is </w:t>
      </w:r>
      <w:r w:rsidR="004C3622">
        <w:rPr>
          <w:rFonts w:cs="Arial"/>
        </w:rPr>
        <w:t xml:space="preserve">normally </w:t>
      </w:r>
      <w:r w:rsidRPr="005157AD">
        <w:rPr>
          <w:rFonts w:cs="Arial"/>
        </w:rPr>
        <w:t>adjusted at year end, based upon the most recent October and January census figures.</w:t>
      </w:r>
    </w:p>
    <w:p w:rsidR="004C3622" w:rsidRPr="005157AD" w:rsidRDefault="004C3622" w:rsidP="005157AD">
      <w:pPr>
        <w:rPr>
          <w:rFonts w:cs="Arial"/>
        </w:rPr>
      </w:pPr>
    </w:p>
    <w:p w:rsidR="005157AD" w:rsidRDefault="005157AD" w:rsidP="005157AD">
      <w:pPr>
        <w:rPr>
          <w:rFonts w:cs="Arial"/>
        </w:rPr>
      </w:pPr>
      <w:r w:rsidRPr="005157AD">
        <w:rPr>
          <w:rFonts w:cs="Arial"/>
        </w:rPr>
        <w:t>A UIFSM spreadsheet is issued by WBC in</w:t>
      </w:r>
      <w:r w:rsidR="004C3622">
        <w:rPr>
          <w:rFonts w:cs="Arial"/>
        </w:rPr>
        <w:t xml:space="preserve"> early</w:t>
      </w:r>
      <w:r w:rsidRPr="005157AD">
        <w:rPr>
          <w:rFonts w:cs="Arial"/>
        </w:rPr>
        <w:t xml:space="preserve"> March detailing the funding</w:t>
      </w:r>
      <w:r w:rsidR="001A0387">
        <w:rPr>
          <w:rFonts w:cs="Arial"/>
        </w:rPr>
        <w:t>.</w:t>
      </w:r>
    </w:p>
    <w:p w:rsidR="0007461E" w:rsidRDefault="0007461E" w:rsidP="005157AD">
      <w:pPr>
        <w:rPr>
          <w:rFonts w:cs="Arial"/>
        </w:rPr>
      </w:pPr>
    </w:p>
    <w:p w:rsidR="0007461E" w:rsidRPr="002328E3" w:rsidRDefault="0007461E" w:rsidP="00CD4899">
      <w:pPr>
        <w:pStyle w:val="Heading1"/>
        <w:rPr>
          <w:rFonts w:cs="Arial"/>
          <w:b w:val="0"/>
        </w:rPr>
      </w:pPr>
      <w:r w:rsidRPr="002328E3">
        <w:rPr>
          <w:rFonts w:cs="Arial"/>
        </w:rPr>
        <w:t>Supplementary Grant</w:t>
      </w:r>
      <w:r w:rsidR="001E71D4" w:rsidRPr="002328E3">
        <w:rPr>
          <w:rFonts w:cs="Arial"/>
        </w:rPr>
        <w:t xml:space="preserve"> </w:t>
      </w:r>
    </w:p>
    <w:p w:rsidR="002328E3" w:rsidRDefault="00790AF9" w:rsidP="00324C3F">
      <w:pPr>
        <w:rPr>
          <w:rFonts w:cs="Arial"/>
        </w:rPr>
      </w:pPr>
      <w:r>
        <w:rPr>
          <w:rFonts w:cs="Arial"/>
        </w:rPr>
        <w:t>In the 2022/</w:t>
      </w:r>
      <w:r w:rsidR="002328E3" w:rsidRPr="002328E3">
        <w:rPr>
          <w:rFonts w:cs="Arial"/>
        </w:rPr>
        <w:t xml:space="preserve">23 financial year, schools will be allocated funding to provide support for the costs of the Health and Social Care Levy and wider costs. </w:t>
      </w:r>
      <w:r w:rsidR="002328E3">
        <w:rPr>
          <w:rFonts w:cs="Arial"/>
        </w:rPr>
        <w:t>T</w:t>
      </w:r>
      <w:r w:rsidR="002328E3" w:rsidRPr="002328E3">
        <w:rPr>
          <w:rFonts w:cs="Arial"/>
        </w:rPr>
        <w:t xml:space="preserve">he intention is that payment of this additional funding in the form of a separate grant will be for </w:t>
      </w:r>
      <w:r>
        <w:rPr>
          <w:rFonts w:cs="Arial"/>
        </w:rPr>
        <w:t>2022/</w:t>
      </w:r>
      <w:r w:rsidR="002328E3" w:rsidRPr="002328E3">
        <w:rPr>
          <w:rFonts w:cs="Arial"/>
        </w:rPr>
        <w:t xml:space="preserve">23 only. The funding will be rolled into the schools national funding formula </w:t>
      </w:r>
      <w:r>
        <w:rPr>
          <w:rFonts w:cs="Arial"/>
        </w:rPr>
        <w:t>for 2023/</w:t>
      </w:r>
      <w:r w:rsidR="002328E3" w:rsidRPr="002328E3">
        <w:rPr>
          <w:rFonts w:cs="Arial"/>
        </w:rPr>
        <w:t>24.</w:t>
      </w:r>
    </w:p>
    <w:p w:rsidR="002328E3" w:rsidRDefault="002328E3" w:rsidP="00324C3F">
      <w:pPr>
        <w:rPr>
          <w:rFonts w:cs="Arial"/>
        </w:rPr>
      </w:pPr>
    </w:p>
    <w:p w:rsidR="002328E3" w:rsidRPr="002328E3" w:rsidRDefault="002328E3" w:rsidP="002328E3">
      <w:pPr>
        <w:rPr>
          <w:rFonts w:cs="Arial"/>
        </w:rPr>
      </w:pPr>
      <w:r w:rsidRPr="002328E3">
        <w:rPr>
          <w:rFonts w:cs="Arial"/>
        </w:rPr>
        <w:t>The funding for early years and post-16 provision in schools is provided in respect of the Health and Social Care Levy. The additional funding for mainstream school provision for pupils aged 5 to 16 is provided in respect of both the Health and Social Care Levy and wider cost pressures. This means that the funding rates in the schools supplementary grant are higher for 5 to 16 provision than early years or post-16.</w:t>
      </w:r>
    </w:p>
    <w:p w:rsidR="002328E3" w:rsidRPr="002328E3" w:rsidRDefault="002328E3" w:rsidP="002328E3">
      <w:pPr>
        <w:rPr>
          <w:rFonts w:cs="Arial"/>
        </w:rPr>
      </w:pPr>
    </w:p>
    <w:p w:rsidR="002328E3" w:rsidRPr="002328E3" w:rsidRDefault="002328E3" w:rsidP="002328E3">
      <w:pPr>
        <w:rPr>
          <w:rFonts w:cs="Arial"/>
          <w:u w:val="single"/>
        </w:rPr>
      </w:pPr>
      <w:r w:rsidRPr="002328E3">
        <w:rPr>
          <w:rFonts w:cs="Arial"/>
          <w:u w:val="single"/>
        </w:rPr>
        <w:t>Funding Rates</w:t>
      </w:r>
    </w:p>
    <w:p w:rsidR="002328E3" w:rsidRPr="002328E3" w:rsidRDefault="002328E3" w:rsidP="002328E3">
      <w:pPr>
        <w:rPr>
          <w:rFonts w:cs="Arial"/>
          <w:b/>
          <w:u w:val="single"/>
        </w:rPr>
      </w:pPr>
    </w:p>
    <w:p w:rsidR="002328E3" w:rsidRPr="00536C2A" w:rsidRDefault="002328E3" w:rsidP="002328E3">
      <w:pPr>
        <w:rPr>
          <w:rFonts w:cs="Arial"/>
        </w:rPr>
      </w:pPr>
      <w:r w:rsidRPr="00536C2A">
        <w:rPr>
          <w:rFonts w:cs="Arial"/>
        </w:rPr>
        <w:t>The DfE will apply an area cost adjustment (ACA) to the funding rates below to take into account geographical variation in labour costs. The ACAs for West Berkshire 1.03475</w:t>
      </w:r>
    </w:p>
    <w:p w:rsidR="002328E3" w:rsidRPr="00536C2A" w:rsidRDefault="002328E3" w:rsidP="002328E3">
      <w:pPr>
        <w:rPr>
          <w:rFonts w:cs="Arial"/>
          <w:u w:val="single"/>
        </w:rPr>
      </w:pPr>
    </w:p>
    <w:p w:rsidR="002328E3" w:rsidRPr="002B2F2C" w:rsidRDefault="002328E3" w:rsidP="002B2F2C">
      <w:pPr>
        <w:rPr>
          <w:rFonts w:cs="Arial"/>
          <w:bCs/>
          <w:u w:val="single"/>
        </w:rPr>
      </w:pPr>
      <w:r w:rsidRPr="002B2F2C">
        <w:rPr>
          <w:rFonts w:cs="Arial"/>
          <w:bCs/>
          <w:u w:val="single"/>
        </w:rPr>
        <w:t>Rate for early years</w:t>
      </w:r>
    </w:p>
    <w:p w:rsidR="002328E3" w:rsidRPr="00536C2A" w:rsidRDefault="002328E3" w:rsidP="002328E3">
      <w:pPr>
        <w:rPr>
          <w:rFonts w:cs="Arial"/>
        </w:rPr>
      </w:pPr>
      <w:r w:rsidRPr="00536C2A">
        <w:rPr>
          <w:rFonts w:cs="Arial"/>
        </w:rPr>
        <w:t>The base per-pupil funding rate for early years provision in schools, and for maintained nursery schools, will be £24 per pupil. Allocations will be calculated by multiplying the per-</w:t>
      </w:r>
      <w:r w:rsidRPr="00536C2A">
        <w:rPr>
          <w:rFonts w:cs="Arial"/>
        </w:rPr>
        <w:lastRenderedPageBreak/>
        <w:t>pupil funding rate (with the ACA applied) by the pupil count using data from the January 2022 census.</w:t>
      </w:r>
    </w:p>
    <w:p w:rsidR="002328E3" w:rsidRPr="00536C2A" w:rsidRDefault="002328E3" w:rsidP="002328E3">
      <w:pPr>
        <w:rPr>
          <w:rFonts w:cs="Arial"/>
        </w:rPr>
      </w:pPr>
    </w:p>
    <w:p w:rsidR="002328E3" w:rsidRPr="002B2F2C" w:rsidRDefault="002328E3" w:rsidP="002B2F2C">
      <w:pPr>
        <w:rPr>
          <w:rFonts w:cs="Arial"/>
          <w:u w:val="single"/>
        </w:rPr>
      </w:pPr>
      <w:r w:rsidRPr="002B2F2C">
        <w:rPr>
          <w:rFonts w:cs="Arial"/>
          <w:u w:val="single"/>
        </w:rPr>
        <w:t>Rates for post-16</w:t>
      </w:r>
    </w:p>
    <w:p w:rsidR="002328E3" w:rsidRPr="00536C2A" w:rsidRDefault="002328E3" w:rsidP="002328E3">
      <w:pPr>
        <w:rPr>
          <w:rFonts w:cs="Arial"/>
        </w:rPr>
      </w:pPr>
      <w:r w:rsidRPr="00536C2A">
        <w:rPr>
          <w:rFonts w:cs="Arial"/>
        </w:rPr>
        <w:t>The base per-student funding rate for 16-19 provision in schools, including 16 to 19 schools and academies, will be £35 per student. Allocations will be calculated by multiplying the per-student funding rate (with the ACA applied) by the student count using data from the 2022 to 2023 16 to 19 allocations.</w:t>
      </w:r>
    </w:p>
    <w:p w:rsidR="002328E3" w:rsidRPr="00536C2A" w:rsidRDefault="002328E3" w:rsidP="002328E3">
      <w:pPr>
        <w:rPr>
          <w:rFonts w:cs="Arial"/>
        </w:rPr>
      </w:pPr>
    </w:p>
    <w:p w:rsidR="002328E3" w:rsidRPr="00536C2A" w:rsidRDefault="002328E3" w:rsidP="002328E3">
      <w:pPr>
        <w:rPr>
          <w:rFonts w:cs="Arial"/>
        </w:rPr>
      </w:pPr>
      <w:r w:rsidRPr="00536C2A">
        <w:rPr>
          <w:rFonts w:cs="Arial"/>
        </w:rPr>
        <w:t xml:space="preserve">The </w:t>
      </w:r>
      <w:r w:rsidRPr="002B2F2C">
        <w:rPr>
          <w:rFonts w:cs="Arial"/>
          <w:u w:val="single"/>
        </w:rPr>
        <w:t>5 to 16 funding rates</w:t>
      </w:r>
      <w:r w:rsidRPr="00536C2A">
        <w:rPr>
          <w:rFonts w:cs="Arial"/>
          <w:b/>
        </w:rPr>
        <w:t xml:space="preserve"> </w:t>
      </w:r>
      <w:r w:rsidRPr="00536C2A">
        <w:rPr>
          <w:rFonts w:cs="Arial"/>
        </w:rPr>
        <w:t>consist of three elements, which are based on factors already in the schools national funding formula:</w:t>
      </w:r>
    </w:p>
    <w:p w:rsidR="002328E3" w:rsidRPr="00536C2A" w:rsidRDefault="002328E3" w:rsidP="002328E3">
      <w:pPr>
        <w:numPr>
          <w:ilvl w:val="0"/>
          <w:numId w:val="37"/>
        </w:numPr>
        <w:rPr>
          <w:rFonts w:cs="Arial"/>
        </w:rPr>
      </w:pPr>
      <w:r w:rsidRPr="00536C2A">
        <w:rPr>
          <w:rFonts w:cs="Arial"/>
        </w:rPr>
        <w:t xml:space="preserve">basic per-pupil rate </w:t>
      </w:r>
    </w:p>
    <w:p w:rsidR="002328E3" w:rsidRPr="00536C2A" w:rsidRDefault="002328E3" w:rsidP="002328E3">
      <w:pPr>
        <w:numPr>
          <w:ilvl w:val="1"/>
          <w:numId w:val="37"/>
        </w:numPr>
        <w:rPr>
          <w:rFonts w:cs="Arial"/>
        </w:rPr>
      </w:pPr>
      <w:r w:rsidRPr="00536C2A">
        <w:rPr>
          <w:rFonts w:cs="Arial"/>
        </w:rPr>
        <w:t>£97 for primary pupils</w:t>
      </w:r>
    </w:p>
    <w:p w:rsidR="002328E3" w:rsidRPr="00536C2A" w:rsidRDefault="002328E3" w:rsidP="002328E3">
      <w:pPr>
        <w:numPr>
          <w:ilvl w:val="1"/>
          <w:numId w:val="37"/>
        </w:numPr>
        <w:rPr>
          <w:rFonts w:cs="Arial"/>
        </w:rPr>
      </w:pPr>
      <w:r w:rsidRPr="00536C2A">
        <w:rPr>
          <w:rFonts w:cs="Arial"/>
        </w:rPr>
        <w:t>£137 for key stage 3 pupils</w:t>
      </w:r>
    </w:p>
    <w:p w:rsidR="002328E3" w:rsidRPr="00536C2A" w:rsidRDefault="002328E3" w:rsidP="002328E3">
      <w:pPr>
        <w:numPr>
          <w:ilvl w:val="1"/>
          <w:numId w:val="37"/>
        </w:numPr>
        <w:rPr>
          <w:rFonts w:cs="Arial"/>
        </w:rPr>
      </w:pPr>
      <w:r w:rsidRPr="00536C2A">
        <w:rPr>
          <w:rFonts w:cs="Arial"/>
        </w:rPr>
        <w:t>£155 for key stage 4 pupils</w:t>
      </w:r>
    </w:p>
    <w:p w:rsidR="002328E3" w:rsidRPr="00536C2A" w:rsidRDefault="002328E3" w:rsidP="002328E3">
      <w:pPr>
        <w:numPr>
          <w:ilvl w:val="0"/>
          <w:numId w:val="37"/>
        </w:numPr>
        <w:rPr>
          <w:rFonts w:cs="Arial"/>
        </w:rPr>
      </w:pPr>
      <w:r w:rsidRPr="00536C2A">
        <w:rPr>
          <w:rFonts w:cs="Arial"/>
        </w:rPr>
        <w:t>lump sum of £3,680</w:t>
      </w:r>
    </w:p>
    <w:p w:rsidR="002328E3" w:rsidRPr="00536C2A" w:rsidRDefault="002328E3" w:rsidP="002328E3">
      <w:pPr>
        <w:numPr>
          <w:ilvl w:val="0"/>
          <w:numId w:val="37"/>
        </w:numPr>
        <w:rPr>
          <w:rFonts w:cs="Arial"/>
        </w:rPr>
      </w:pPr>
      <w:r w:rsidRPr="00536C2A">
        <w:rPr>
          <w:rFonts w:cs="Arial"/>
        </w:rPr>
        <w:t xml:space="preserve">FSM6 per-pupil rate of </w:t>
      </w:r>
    </w:p>
    <w:p w:rsidR="002328E3" w:rsidRPr="00536C2A" w:rsidRDefault="002328E3" w:rsidP="002328E3">
      <w:pPr>
        <w:numPr>
          <w:ilvl w:val="1"/>
          <w:numId w:val="37"/>
        </w:numPr>
        <w:rPr>
          <w:rFonts w:cs="Arial"/>
        </w:rPr>
      </w:pPr>
      <w:r w:rsidRPr="00536C2A">
        <w:rPr>
          <w:rFonts w:cs="Arial"/>
        </w:rPr>
        <w:t>£85 per eligible primary pupil</w:t>
      </w:r>
    </w:p>
    <w:p w:rsidR="002328E3" w:rsidRPr="00536C2A" w:rsidRDefault="002328E3" w:rsidP="002328E3">
      <w:pPr>
        <w:numPr>
          <w:ilvl w:val="1"/>
          <w:numId w:val="37"/>
        </w:numPr>
        <w:rPr>
          <w:rFonts w:cs="Arial"/>
        </w:rPr>
      </w:pPr>
      <w:r w:rsidRPr="00536C2A">
        <w:rPr>
          <w:rFonts w:cs="Arial"/>
        </w:rPr>
        <w:t>£124 per eligible secondary pupil</w:t>
      </w:r>
    </w:p>
    <w:p w:rsidR="002328E3" w:rsidRPr="002328E3" w:rsidRDefault="002328E3" w:rsidP="002328E3">
      <w:pPr>
        <w:rPr>
          <w:rFonts w:cs="Arial"/>
        </w:rPr>
      </w:pPr>
      <w:r w:rsidRPr="002328E3">
        <w:rPr>
          <w:rFonts w:cs="Arial"/>
        </w:rPr>
        <w:t>Allocations will be calculated by multiplying the relevant funding rates (with the ACA applied) by the pupil count, and FSM6 pupil count, using data from the October 2021 school census. The allocations will also include the lump sum amount.</w:t>
      </w:r>
    </w:p>
    <w:p w:rsidR="002328E3" w:rsidRPr="002328E3" w:rsidRDefault="002328E3" w:rsidP="002328E3">
      <w:pPr>
        <w:rPr>
          <w:rFonts w:cs="Arial"/>
        </w:rPr>
      </w:pPr>
    </w:p>
    <w:p w:rsidR="002328E3" w:rsidRPr="002328E3" w:rsidRDefault="002328E3" w:rsidP="002328E3">
      <w:pPr>
        <w:rPr>
          <w:rFonts w:cs="Arial"/>
        </w:rPr>
      </w:pPr>
      <w:r w:rsidRPr="002328E3">
        <w:rPr>
          <w:rFonts w:cs="Arial"/>
        </w:rPr>
        <w:t xml:space="preserve">School-level allocations will be published in spring 2022 and will show the total funding allocated for each applicable phase of provision. </w:t>
      </w:r>
    </w:p>
    <w:p w:rsidR="002328E3" w:rsidRDefault="002328E3" w:rsidP="00324C3F">
      <w:pPr>
        <w:rPr>
          <w:rFonts w:cs="Arial"/>
        </w:rPr>
      </w:pPr>
    </w:p>
    <w:p w:rsidR="002328E3" w:rsidRDefault="002328E3" w:rsidP="00324C3F">
      <w:pPr>
        <w:rPr>
          <w:rFonts w:cs="Arial"/>
        </w:rPr>
      </w:pPr>
    </w:p>
    <w:p w:rsidR="00324C3F" w:rsidRPr="00A94818" w:rsidRDefault="00F96340" w:rsidP="007808BA">
      <w:pPr>
        <w:pStyle w:val="Heading1"/>
        <w:rPr>
          <w:rFonts w:cs="Arial"/>
        </w:rPr>
      </w:pPr>
      <w:r w:rsidRPr="00A94818">
        <w:rPr>
          <w:rFonts w:cs="Arial"/>
        </w:rPr>
        <w:t>Recovery</w:t>
      </w:r>
      <w:r w:rsidR="00324C3F" w:rsidRPr="00A94818">
        <w:rPr>
          <w:rFonts w:cs="Arial"/>
        </w:rPr>
        <w:t xml:space="preserve"> Premium</w:t>
      </w:r>
      <w:r w:rsidR="001E71D4" w:rsidRPr="00A94818">
        <w:rPr>
          <w:rFonts w:cs="Arial"/>
        </w:rPr>
        <w:t xml:space="preserve"> </w:t>
      </w:r>
      <w:r w:rsidRPr="00A94818">
        <w:rPr>
          <w:rFonts w:cs="Arial"/>
        </w:rPr>
        <w:t>Funding</w:t>
      </w:r>
    </w:p>
    <w:p w:rsidR="00F96340" w:rsidRDefault="00F96340" w:rsidP="00F96340">
      <w:r>
        <w:t>In February 2021 the government announced a one-off recovery premium as part of its package of funding to support education recovery, providing additional funding for the academic year 2021/22. All schools that are eligible for pupil premium are eligible for recovery premium and the funding will be allocated using the same data as pupil premium.</w:t>
      </w:r>
    </w:p>
    <w:p w:rsidR="00F96340" w:rsidRDefault="00F96340" w:rsidP="00F96340"/>
    <w:p w:rsidR="00F96340" w:rsidRDefault="00F96340" w:rsidP="00F96340">
      <w:r>
        <w:t>Mainstream schools will get:</w:t>
      </w:r>
    </w:p>
    <w:p w:rsidR="00F96340" w:rsidRDefault="00F96340" w:rsidP="00F96340"/>
    <w:p w:rsidR="00F96340" w:rsidRDefault="00F96340" w:rsidP="00F96340">
      <w:r>
        <w:t>•</w:t>
      </w:r>
      <w:r>
        <w:tab/>
        <w:t>£145 for each eligible pupil in mainstream education</w:t>
      </w:r>
    </w:p>
    <w:p w:rsidR="00F96340" w:rsidRDefault="00F96340" w:rsidP="00F96340">
      <w:r>
        <w:t>•</w:t>
      </w:r>
      <w:r>
        <w:tab/>
        <w:t>£290 for each eligible pupil in a special unit</w:t>
      </w:r>
    </w:p>
    <w:p w:rsidR="00F96340" w:rsidRDefault="00F96340" w:rsidP="00F96340"/>
    <w:p w:rsidR="00F96340" w:rsidRDefault="00F96340" w:rsidP="00F96340">
      <w:r>
        <w:t>Additionally, there is a minimum payment or ‘floor’ of £2,000 for a primary, £6,000 for a secondary school.</w:t>
      </w:r>
    </w:p>
    <w:p w:rsidR="00F96340" w:rsidRDefault="00F96340" w:rsidP="00F96340"/>
    <w:p w:rsidR="00F96340" w:rsidRDefault="00F96340" w:rsidP="00F96340">
      <w:r>
        <w:t>As with pupil premium, the funding for looked-after children will be paid to the local authority and will be managed by the virtual school head.</w:t>
      </w:r>
    </w:p>
    <w:p w:rsidR="00F96340" w:rsidRDefault="00F96340" w:rsidP="00F96340"/>
    <w:p w:rsidR="00F96340" w:rsidRDefault="00F96340" w:rsidP="00F96340">
      <w:r>
        <w:t>The recovery premium will be paid in 4 installments to local authorities, with two of these being in the financial year 2022/23</w:t>
      </w:r>
      <w:r w:rsidR="00F6118C">
        <w:t>.</w:t>
      </w:r>
    </w:p>
    <w:p w:rsidR="00F6118C" w:rsidRDefault="00F6118C" w:rsidP="00F96340"/>
    <w:p w:rsidR="00F6118C" w:rsidRPr="00F6118C" w:rsidRDefault="00F6118C" w:rsidP="00F6118C">
      <w:pPr>
        <w:rPr>
          <w:rFonts w:eastAsia="Arial"/>
          <w:szCs w:val="24"/>
          <w:lang w:eastAsia="en-US"/>
        </w:rPr>
      </w:pPr>
      <w:r w:rsidRPr="00F6118C">
        <w:rPr>
          <w:rFonts w:eastAsia="Arial"/>
          <w:szCs w:val="24"/>
          <w:lang w:eastAsia="en-US"/>
        </w:rPr>
        <w:t xml:space="preserve">The DfE </w:t>
      </w:r>
      <w:r>
        <w:rPr>
          <w:rFonts w:eastAsia="Arial"/>
          <w:szCs w:val="24"/>
          <w:lang w:eastAsia="en-US"/>
        </w:rPr>
        <w:t xml:space="preserve">have stated that the funding will continue for the academic year 2022/23 and that </w:t>
      </w:r>
      <w:r w:rsidRPr="00F6118C">
        <w:rPr>
          <w:rFonts w:eastAsia="Arial"/>
          <w:szCs w:val="24"/>
          <w:lang w:eastAsia="en-US"/>
        </w:rPr>
        <w:t xml:space="preserve"> primaries will receive the same per-pupil rates </w:t>
      </w:r>
      <w:r>
        <w:rPr>
          <w:rFonts w:eastAsia="Arial"/>
          <w:szCs w:val="24"/>
          <w:lang w:eastAsia="en-US"/>
        </w:rPr>
        <w:t>as per 2021/22</w:t>
      </w:r>
      <w:r w:rsidRPr="00F6118C">
        <w:rPr>
          <w:rFonts w:eastAsia="Arial"/>
          <w:szCs w:val="24"/>
          <w:lang w:eastAsia="en-US"/>
        </w:rPr>
        <w:t>. Secondary schools, however, w</w:t>
      </w:r>
      <w:r w:rsidR="00A94818">
        <w:rPr>
          <w:rFonts w:eastAsia="Arial"/>
          <w:szCs w:val="24"/>
          <w:lang w:eastAsia="en-US"/>
        </w:rPr>
        <w:t>ill see their allowances double. The DfE are yet to confirm the rates for academic year 2022/23.</w:t>
      </w:r>
    </w:p>
    <w:p w:rsidR="00F6118C" w:rsidRDefault="00F6118C" w:rsidP="00F96340"/>
    <w:p w:rsidR="00F96340" w:rsidRDefault="00F96340" w:rsidP="00F96340"/>
    <w:p w:rsidR="002328E3" w:rsidRDefault="002328E3" w:rsidP="002328E3">
      <w:pPr>
        <w:rPr>
          <w:rFonts w:cs="Arial"/>
        </w:rPr>
      </w:pPr>
    </w:p>
    <w:p w:rsidR="002328E3" w:rsidRPr="00B81B2C" w:rsidRDefault="00ED69C7" w:rsidP="002328E3">
      <w:pPr>
        <w:pStyle w:val="Heading1"/>
      </w:pPr>
      <w:r w:rsidRPr="00B81B2C">
        <w:t xml:space="preserve">School Led Tutoring </w:t>
      </w:r>
      <w:r w:rsidR="002328E3" w:rsidRPr="00B81B2C">
        <w:t xml:space="preserve">Grant </w:t>
      </w:r>
    </w:p>
    <w:p w:rsidR="00ED69C7" w:rsidRPr="00ED69C7" w:rsidRDefault="00ED69C7" w:rsidP="00ED69C7">
      <w:pPr>
        <w:rPr>
          <w:rFonts w:cs="Arial"/>
        </w:rPr>
      </w:pPr>
      <w:r w:rsidRPr="00ED69C7">
        <w:rPr>
          <w:rFonts w:cs="Arial"/>
        </w:rPr>
        <w:t xml:space="preserve">School-led tutoring is one element of the National Tutoring Programme </w:t>
      </w:r>
      <w:r>
        <w:rPr>
          <w:rFonts w:cs="Arial"/>
        </w:rPr>
        <w:t>(</w:t>
      </w:r>
      <w:r w:rsidRPr="00ED69C7">
        <w:rPr>
          <w:rFonts w:cs="Arial"/>
        </w:rPr>
        <w:t>NTP</w:t>
      </w:r>
      <w:r>
        <w:rPr>
          <w:rFonts w:cs="Arial"/>
        </w:rPr>
        <w:t xml:space="preserve">). </w:t>
      </w:r>
      <w:r w:rsidRPr="00ED69C7">
        <w:rPr>
          <w:rFonts w:cs="Arial"/>
        </w:rPr>
        <w:t>It is</w:t>
      </w:r>
      <w:r w:rsidR="00790AF9">
        <w:rPr>
          <w:rFonts w:cs="Arial"/>
        </w:rPr>
        <w:t xml:space="preserve"> for the academic year 2021/</w:t>
      </w:r>
      <w:r w:rsidRPr="00ED69C7">
        <w:rPr>
          <w:rFonts w:cs="Arial"/>
        </w:rPr>
        <w:t>22 and is based on the number of pupils eligible for pupil premium.</w:t>
      </w:r>
    </w:p>
    <w:p w:rsidR="00ED69C7" w:rsidRPr="00ED69C7" w:rsidRDefault="00ED69C7" w:rsidP="00ED69C7">
      <w:pPr>
        <w:rPr>
          <w:rFonts w:cs="Arial"/>
        </w:rPr>
      </w:pPr>
    </w:p>
    <w:p w:rsidR="00ED69C7" w:rsidRDefault="00ED69C7" w:rsidP="00ED69C7">
      <w:pPr>
        <w:rPr>
          <w:rFonts w:cs="Arial"/>
        </w:rPr>
      </w:pPr>
      <w:r w:rsidRPr="00ED69C7">
        <w:rPr>
          <w:rFonts w:cs="Arial"/>
        </w:rPr>
        <w:t>Schools will receive £202.50 per pupil for 60% of their pupils that are eligible for pupil premium, from year 1 to year 11 (pupil number will be rounded to the nearest whole number).This has been calculated to cover 75% of the cost of tuition, based on an average cost of £18 per hour and a pupil receiving a package of 15 hours of tuition, totalling £202.50 per pupil. Schools are expected to contribute the remaining 25% (£4.50) from other budgets such as the recovery premium or pupil premium. Schools can, if needed, offer provision at a higher unit rate than £18 but it will not be funded by DfE.</w:t>
      </w:r>
    </w:p>
    <w:p w:rsidR="00376899" w:rsidRPr="00ED69C7" w:rsidRDefault="00376899" w:rsidP="00ED69C7">
      <w:pPr>
        <w:rPr>
          <w:rFonts w:cs="Arial"/>
        </w:rPr>
      </w:pPr>
    </w:p>
    <w:p w:rsidR="00ED69C7" w:rsidRPr="00ED69C7" w:rsidRDefault="00ED69C7" w:rsidP="00ED69C7">
      <w:pPr>
        <w:rPr>
          <w:rFonts w:cs="Arial"/>
        </w:rPr>
      </w:pPr>
      <w:r w:rsidRPr="00ED69C7">
        <w:rPr>
          <w:rFonts w:cs="Arial"/>
        </w:rPr>
        <w:t>In recognition of higher costs, non-mainstream schools, including special schools and units, will receive £529 per pupil for 60% of pupil premium pupils (rounded to the nearest whole number).</w:t>
      </w:r>
    </w:p>
    <w:p w:rsidR="00ED69C7" w:rsidRPr="00ED69C7" w:rsidRDefault="00ED69C7" w:rsidP="00ED69C7">
      <w:pPr>
        <w:rPr>
          <w:rFonts w:cs="Arial"/>
        </w:rPr>
      </w:pPr>
    </w:p>
    <w:p w:rsidR="00ED69C7" w:rsidRPr="00ED69C7" w:rsidRDefault="00ED69C7" w:rsidP="00ED69C7">
      <w:pPr>
        <w:rPr>
          <w:rFonts w:cs="Arial"/>
        </w:rPr>
      </w:pPr>
      <w:r>
        <w:rPr>
          <w:rFonts w:cs="Arial"/>
        </w:rPr>
        <w:t>5/12ths of the funding will be received in the fi</w:t>
      </w:r>
      <w:r w:rsidR="00790AF9">
        <w:rPr>
          <w:rFonts w:cs="Arial"/>
        </w:rPr>
        <w:t>nancial year 2022/</w:t>
      </w:r>
      <w:r>
        <w:rPr>
          <w:rFonts w:cs="Arial"/>
        </w:rPr>
        <w:t xml:space="preserve">23. </w:t>
      </w:r>
      <w:r w:rsidRPr="00ED69C7">
        <w:rPr>
          <w:rFonts w:cs="Arial"/>
        </w:rPr>
        <w:t>Any funding that has not been spent at the end of the academic year will be recovered by DfE. Schools cannot carry forward funding into future years.</w:t>
      </w:r>
    </w:p>
    <w:p w:rsidR="00ED69C7" w:rsidRDefault="00ED69C7" w:rsidP="00ED69C7">
      <w:pPr>
        <w:rPr>
          <w:rFonts w:cs="Arial"/>
        </w:rPr>
      </w:pPr>
      <w:r w:rsidRPr="00ED69C7">
        <w:rPr>
          <w:rFonts w:cs="Arial"/>
        </w:rPr>
        <w:t>   </w:t>
      </w:r>
    </w:p>
    <w:p w:rsidR="00ED69C7" w:rsidRDefault="00241E21" w:rsidP="00ED69C7">
      <w:pPr>
        <w:rPr>
          <w:rFonts w:cs="Arial"/>
        </w:rPr>
      </w:pPr>
      <w:r>
        <w:rPr>
          <w:rFonts w:cs="Arial"/>
        </w:rPr>
        <w:t>This funding is due to cont</w:t>
      </w:r>
      <w:r w:rsidR="00790AF9">
        <w:rPr>
          <w:rFonts w:cs="Arial"/>
        </w:rPr>
        <w:t>inue for the academic year 2022/</w:t>
      </w:r>
      <w:r>
        <w:rPr>
          <w:rFonts w:cs="Arial"/>
        </w:rPr>
        <w:t>23. However, in the original announcement regarding this grant the DfE stated that</w:t>
      </w:r>
      <w:r w:rsidRPr="00241E21">
        <w:rPr>
          <w:rFonts w:cs="Arial"/>
        </w:rPr>
        <w:t xml:space="preserve"> schools will be “expected to increase their financial contribution over time, such that they are meeting the majority of costs” in three years’ time.</w:t>
      </w:r>
      <w:r>
        <w:rPr>
          <w:rFonts w:cs="Arial"/>
        </w:rPr>
        <w:t> Therefore it is likely there will be a reduction to the value of the grant in the academic year 2022-23.</w:t>
      </w:r>
    </w:p>
    <w:p w:rsidR="0012075A" w:rsidRDefault="0012075A" w:rsidP="00ED69C7">
      <w:pPr>
        <w:rPr>
          <w:rFonts w:cs="Arial"/>
        </w:rPr>
      </w:pPr>
    </w:p>
    <w:p w:rsidR="0012075A" w:rsidRPr="00ED69C7" w:rsidRDefault="0012075A" w:rsidP="00ED69C7">
      <w:pPr>
        <w:rPr>
          <w:rFonts w:cs="Arial"/>
        </w:rPr>
      </w:pPr>
    </w:p>
    <w:p w:rsidR="0012075A" w:rsidRDefault="0012075A" w:rsidP="0012075A">
      <w:pPr>
        <w:pStyle w:val="Heading1"/>
      </w:pPr>
      <w:r>
        <w:t>Newly Qualified Teachers 2021/22</w:t>
      </w:r>
    </w:p>
    <w:p w:rsidR="0012075A" w:rsidRDefault="0012075A" w:rsidP="0012075A">
      <w:r>
        <w:t>In recognition of the challenging initial teacher training and induction, newly qualified teachers (NQTs) who completed their induction in the summer 2021 will be eligible for a one-off payment of funding (£1200) for the equivalent of an additional 5% off timetable for the academic year 2021</w:t>
      </w:r>
      <w:r w:rsidR="00790AF9">
        <w:t>/</w:t>
      </w:r>
      <w:r>
        <w:t>22 so these teachers have additional time to invest in their development.</w:t>
      </w:r>
    </w:p>
    <w:p w:rsidR="0012075A" w:rsidRDefault="0012075A" w:rsidP="0012075A">
      <w:r>
        <w:t>Funding will be based on school workforce census returns. Payment will be made in arrears, in the summer term of 2022, to ensure that the payments are as accurate as possible and to avoid issues around teachers having moved schools</w:t>
      </w:r>
    </w:p>
    <w:p w:rsidR="007F28C3" w:rsidRDefault="007F28C3" w:rsidP="0012075A"/>
    <w:p w:rsidR="007F28C3" w:rsidRDefault="007F28C3" w:rsidP="007F28C3">
      <w:pPr>
        <w:pStyle w:val="Heading1"/>
      </w:pPr>
      <w:r>
        <w:t>Early Career Teachers 2022/23</w:t>
      </w:r>
    </w:p>
    <w:p w:rsidR="007F28C3" w:rsidRDefault="007F28C3" w:rsidP="007F28C3">
      <w:r>
        <w:t>All state-funded schools offering statutory induction will receive additional funding to deliver the ECF reforms. The funding will cover:</w:t>
      </w:r>
    </w:p>
    <w:p w:rsidR="007F28C3" w:rsidRDefault="007F28C3" w:rsidP="007F28C3"/>
    <w:p w:rsidR="007F28C3" w:rsidRDefault="007F28C3" w:rsidP="007F28C3">
      <w:pPr>
        <w:numPr>
          <w:ilvl w:val="0"/>
          <w:numId w:val="42"/>
        </w:numPr>
      </w:pPr>
      <w:r>
        <w:t>5% off timetable in the second year of induction for all early career teachers to undertake induction activities including training and mentoring (£1200)</w:t>
      </w:r>
    </w:p>
    <w:p w:rsidR="007F28C3" w:rsidRDefault="007F28C3" w:rsidP="007F28C3">
      <w:pPr>
        <w:numPr>
          <w:ilvl w:val="0"/>
          <w:numId w:val="42"/>
        </w:numPr>
      </w:pPr>
      <w:r>
        <w:t>mentors for early career teachers in the second year of induction - this is based on 20 hours of mentoring across the academic year (£900)</w:t>
      </w:r>
    </w:p>
    <w:p w:rsidR="007F28C3" w:rsidRDefault="007F28C3" w:rsidP="007F28C3"/>
    <w:p w:rsidR="007F28C3" w:rsidRDefault="007F28C3" w:rsidP="007F28C3">
      <w:r>
        <w:t>The</w:t>
      </w:r>
      <w:r w:rsidRPr="007F28C3">
        <w:t xml:space="preserve"> data will be collected through the school workforce census</w:t>
      </w:r>
      <w:r>
        <w:t xml:space="preserve"> with</w:t>
      </w:r>
      <w:r w:rsidRPr="007F28C3">
        <w:t xml:space="preserve"> schools </w:t>
      </w:r>
      <w:r>
        <w:t>receiving</w:t>
      </w:r>
      <w:r w:rsidRPr="007F28C3">
        <w:t xml:space="preserve"> a single payment for their early career teachers and mentors in the summer </w:t>
      </w:r>
      <w:r>
        <w:t>of the second year of induction ie summer 2024.</w:t>
      </w:r>
    </w:p>
    <w:p w:rsidR="007F28C3" w:rsidRPr="0012075A" w:rsidRDefault="007F28C3" w:rsidP="007F28C3">
      <w:pPr>
        <w:ind w:left="720"/>
      </w:pPr>
    </w:p>
    <w:p w:rsidR="002328E3" w:rsidRDefault="002328E3" w:rsidP="002328E3">
      <w:pPr>
        <w:rPr>
          <w:rFonts w:cs="Arial"/>
        </w:rPr>
      </w:pPr>
    </w:p>
    <w:p w:rsidR="00A409CB" w:rsidRDefault="00A409CB" w:rsidP="00324C3F">
      <w:pPr>
        <w:rPr>
          <w:rFonts w:cs="Arial"/>
        </w:rPr>
      </w:pPr>
    </w:p>
    <w:p w:rsidR="00A409CB" w:rsidRPr="007808BA" w:rsidRDefault="00A409CB" w:rsidP="004718FE">
      <w:pPr>
        <w:pStyle w:val="Heading1"/>
        <w:rPr>
          <w:rFonts w:cs="Arial"/>
        </w:rPr>
      </w:pPr>
      <w:r w:rsidRPr="007808BA">
        <w:rPr>
          <w:rFonts w:cs="Arial"/>
        </w:rPr>
        <w:t>Devolved Formula Capital (DFC)</w:t>
      </w:r>
    </w:p>
    <w:p w:rsidR="00A409CB" w:rsidRPr="00A409CB" w:rsidRDefault="00A409CB" w:rsidP="00A409CB">
      <w:pPr>
        <w:rPr>
          <w:rFonts w:cs="Arial"/>
        </w:rPr>
      </w:pPr>
      <w:r w:rsidRPr="00A409CB">
        <w:rPr>
          <w:rFonts w:cs="Arial"/>
        </w:rPr>
        <w:t>The devolve</w:t>
      </w:r>
      <w:r w:rsidR="00376899">
        <w:rPr>
          <w:rFonts w:cs="Arial"/>
        </w:rPr>
        <w:t>d formula capital rates for 2022/23</w:t>
      </w:r>
      <w:r w:rsidRPr="00A409CB">
        <w:rPr>
          <w:rFonts w:cs="Arial"/>
        </w:rPr>
        <w:t xml:space="preserve"> financial year have not yet been announced.</w:t>
      </w:r>
    </w:p>
    <w:p w:rsidR="00A409CB" w:rsidRDefault="00A409CB" w:rsidP="00A409CB">
      <w:pPr>
        <w:rPr>
          <w:rFonts w:cs="Arial"/>
        </w:rPr>
      </w:pPr>
    </w:p>
    <w:p w:rsidR="00A409CB" w:rsidRPr="00A409CB" w:rsidRDefault="00A409CB" w:rsidP="00A409CB">
      <w:pPr>
        <w:rPr>
          <w:rFonts w:cs="Arial"/>
        </w:rPr>
      </w:pPr>
      <w:r w:rsidRPr="00A409CB">
        <w:rPr>
          <w:rFonts w:cs="Arial"/>
        </w:rPr>
        <w:t>For more information please refer to the DfE capital allocations pages</w:t>
      </w:r>
      <w:r>
        <w:rPr>
          <w:rFonts w:cs="Arial"/>
        </w:rPr>
        <w:t>.</w:t>
      </w:r>
      <w:r w:rsidRPr="00A409CB">
        <w:t xml:space="preserve"> </w:t>
      </w:r>
      <w:hyperlink r:id="rId13" w:history="1">
        <w:r w:rsidRPr="00291EE2">
          <w:rPr>
            <w:rStyle w:val="Hyperlink"/>
            <w:rFonts w:cs="Arial"/>
          </w:rPr>
          <w:t>https://www.gov.uk/guidance/school-capital-funding</w:t>
        </w:r>
      </w:hyperlink>
    </w:p>
    <w:sectPr w:rsidR="00A409CB" w:rsidRPr="00A409CB" w:rsidSect="00F3050E">
      <w:footerReference w:type="default" r:id="rId14"/>
      <w:headerReference w:type="first" r:id="rId15"/>
      <w:footerReference w:type="first" r:id="rId16"/>
      <w:type w:val="nextColumn"/>
      <w:pgSz w:w="11907" w:h="16840" w:code="9"/>
      <w:pgMar w:top="454" w:right="1077" w:bottom="1440" w:left="1077"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FB" w:rsidRDefault="000125FB">
      <w:r>
        <w:separator/>
      </w:r>
    </w:p>
  </w:endnote>
  <w:endnote w:type="continuationSeparator" w:id="0">
    <w:p w:rsidR="000125FB" w:rsidRDefault="0001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A4" w:rsidRPr="00B9544E" w:rsidRDefault="00B747A4" w:rsidP="001A4AF8">
    <w:pPr>
      <w:pStyle w:val="Footer"/>
      <w:pBdr>
        <w:top w:val="single" w:sz="4" w:space="1" w:color="auto"/>
      </w:pBdr>
      <w:tabs>
        <w:tab w:val="center" w:pos="5103"/>
        <w:tab w:val="right" w:pos="9639"/>
      </w:tabs>
      <w:jc w:val="center"/>
      <w:rPr>
        <w:sz w:val="6"/>
        <w:szCs w:val="24"/>
      </w:rPr>
    </w:pPr>
  </w:p>
  <w:p w:rsidR="00B747A4" w:rsidRPr="00B9544E" w:rsidRDefault="00B747A4"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E96DB4">
      <w:rPr>
        <w:rStyle w:val="PageNumber"/>
        <w:noProof/>
        <w:szCs w:val="24"/>
      </w:rPr>
      <w:t>2</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E96DB4">
      <w:rPr>
        <w:rStyle w:val="PageNumber"/>
        <w:noProof/>
        <w:szCs w:val="24"/>
      </w:rPr>
      <w:t>11</w:t>
    </w:r>
    <w:r w:rsidRPr="00B9544E">
      <w:rPr>
        <w:rStyle w:val="PageNumber"/>
        <w:szCs w:val="24"/>
      </w:rPr>
      <w:fldChar w:fldCharType="end"/>
    </w:r>
  </w:p>
  <w:p w:rsidR="00B747A4" w:rsidRPr="001A4AF8" w:rsidRDefault="00B747A4"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A4" w:rsidRPr="00B36757" w:rsidRDefault="00E96DB4" w:rsidP="00B36757">
    <w:pPr>
      <w:pStyle w:val="Footer"/>
    </w:pPr>
    <w:r>
      <w:rPr>
        <w:noProof/>
      </w:rPr>
      <w:pict>
        <v:group id="_x0000_s2053" style="position:absolute;margin-left:-56.95pt;margin-top:-63.35pt;width:598.8pt;height:107.25pt;z-index:251658240" coordorigin="-29,14690" coordsize="11976,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9;top:14690;width:11671;height:1809">
            <v:imagedata r:id="rId1" o:title="WBC%20Footer%20Strip%20Green"/>
          </v:shape>
          <v:rect id="_x0000_s2055" style="position:absolute;left:-29;top:16463;width:11940;height:372" fillcolor="#009878" strokecolor="#009878"/>
          <v:rect id="_x0000_s2056" style="position:absolute;left:11635;top:14703;width:312;height:1812" fillcolor="#009878" strokecolor="#009878"/>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FB" w:rsidRDefault="000125FB">
      <w:r>
        <w:separator/>
      </w:r>
    </w:p>
  </w:footnote>
  <w:footnote w:type="continuationSeparator" w:id="0">
    <w:p w:rsidR="000125FB" w:rsidRDefault="0001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A4" w:rsidRPr="001A4AF8" w:rsidRDefault="00E96DB4" w:rsidP="001A4AF8">
    <w:r>
      <w:rPr>
        <w:noProof/>
      </w:rPr>
      <w:pict>
        <v:rect id="_x0000_s2052" style="position:absolute;margin-left:-68.55pt;margin-top:-50.65pt;width:609.55pt;height:200.15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2401B84"/>
    <w:lvl w:ilvl="0">
      <w:start w:val="1"/>
      <w:numFmt w:val="decimal"/>
      <w:lvlText w:val="%1."/>
      <w:legacy w:legacy="1" w:legacySpace="144" w:legacyIndent="0"/>
      <w:lvlJc w:val="left"/>
    </w:lvl>
    <w:lvl w:ilvl="1">
      <w:start w:val="1"/>
      <w:numFmt w:val="decimal"/>
      <w:lvlText w:val="%1.%2"/>
      <w:legacy w:legacy="1" w:legacySpace="144" w:legacyIndent="0"/>
      <w:lvlJc w:val="left"/>
      <w:rPr>
        <w:color w:val="auto"/>
      </w:rPr>
    </w:lvl>
    <w:lvl w:ilvl="2">
      <w:start w:val="1"/>
      <w:numFmt w:val="decimal"/>
      <w:lvlText w:val="(%3)"/>
      <w:legacy w:legacy="1" w:legacySpace="144" w:legacyIndent="0"/>
      <w:lvlJc w:val="left"/>
    </w:lvl>
    <w:lvl w:ilvl="3">
      <w:start w:val="1"/>
      <w:numFmt w:val="lowerLetter"/>
      <w:lvlText w:val="(%4)"/>
      <w:legacy w:legacy="1" w:legacySpace="144" w:legacyIndent="0"/>
      <w:lvlJc w:val="left"/>
    </w:lvl>
    <w:lvl w:ilvl="4">
      <w:start w:val="1"/>
      <w:numFmt w:val="lowerRoman"/>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 w15:restartNumberingAfterBreak="0">
    <w:nsid w:val="00E27A0A"/>
    <w:multiLevelType w:val="hybridMultilevel"/>
    <w:tmpl w:val="2EB4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03610"/>
    <w:multiLevelType w:val="hybridMultilevel"/>
    <w:tmpl w:val="5E9E25EA"/>
    <w:lvl w:ilvl="0" w:tplc="08090001">
      <w:start w:val="1"/>
      <w:numFmt w:val="bullet"/>
      <w:lvlText w:val=""/>
      <w:lvlJc w:val="left"/>
      <w:pPr>
        <w:ind w:left="1446" w:hanging="360"/>
      </w:pPr>
      <w:rPr>
        <w:rFonts w:ascii="Symbol" w:hAnsi="Symbol" w:hint="default"/>
      </w:rPr>
    </w:lvl>
    <w:lvl w:ilvl="1" w:tplc="0E2AC5EC">
      <w:numFmt w:val="bullet"/>
      <w:lvlText w:val="-"/>
      <w:lvlJc w:val="left"/>
      <w:pPr>
        <w:ind w:left="2166" w:hanging="360"/>
      </w:pPr>
      <w:rPr>
        <w:rFonts w:ascii="Arial" w:eastAsia="Times New Roman" w:hAnsi="Arial" w:cs="Arial"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3436106"/>
    <w:multiLevelType w:val="hybridMultilevel"/>
    <w:tmpl w:val="BF0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245A"/>
    <w:multiLevelType w:val="hybridMultilevel"/>
    <w:tmpl w:val="B35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A754EE48"/>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001879"/>
    <w:multiLevelType w:val="multilevel"/>
    <w:tmpl w:val="FFE6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F0352"/>
    <w:multiLevelType w:val="hybridMultilevel"/>
    <w:tmpl w:val="F4AC236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7B910FF"/>
    <w:multiLevelType w:val="hybridMultilevel"/>
    <w:tmpl w:val="742410BE"/>
    <w:lvl w:ilvl="0" w:tplc="81A043F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B36CDD"/>
    <w:multiLevelType w:val="hybridMultilevel"/>
    <w:tmpl w:val="78721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0E1C25"/>
    <w:multiLevelType w:val="hybridMultilevel"/>
    <w:tmpl w:val="ADB47C2C"/>
    <w:lvl w:ilvl="0" w:tplc="260E64CA">
      <w:start w:val="1"/>
      <w:numFmt w:val="bullet"/>
      <w:pStyle w:val="ListParagraph"/>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453DB"/>
    <w:multiLevelType w:val="hybridMultilevel"/>
    <w:tmpl w:val="9A426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1B59EC"/>
    <w:multiLevelType w:val="multilevel"/>
    <w:tmpl w:val="0BC03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D77AF"/>
    <w:multiLevelType w:val="hybridMultilevel"/>
    <w:tmpl w:val="9D86C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B4123"/>
    <w:multiLevelType w:val="hybridMultilevel"/>
    <w:tmpl w:val="2242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73BB8"/>
    <w:multiLevelType w:val="hybridMultilevel"/>
    <w:tmpl w:val="1D408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6E05CE"/>
    <w:multiLevelType w:val="hybridMultilevel"/>
    <w:tmpl w:val="AB128184"/>
    <w:lvl w:ilvl="0" w:tplc="59B60FE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19" w15:restartNumberingAfterBreak="0">
    <w:nsid w:val="549362B6"/>
    <w:multiLevelType w:val="hybridMultilevel"/>
    <w:tmpl w:val="6DC6A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96238C"/>
    <w:multiLevelType w:val="hybridMultilevel"/>
    <w:tmpl w:val="97F88B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B9A70B8"/>
    <w:multiLevelType w:val="multilevel"/>
    <w:tmpl w:val="41ACF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23" w15:restartNumberingAfterBreak="0">
    <w:nsid w:val="761B38CA"/>
    <w:multiLevelType w:val="hybridMultilevel"/>
    <w:tmpl w:val="42C4C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5E23D7"/>
    <w:multiLevelType w:val="hybridMultilevel"/>
    <w:tmpl w:val="EA4C0416"/>
    <w:lvl w:ilvl="0" w:tplc="F4EE12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66501"/>
    <w:multiLevelType w:val="hybridMultilevel"/>
    <w:tmpl w:val="34F8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2289E"/>
    <w:multiLevelType w:val="multilevel"/>
    <w:tmpl w:val="22BE4B8E"/>
    <w:lvl w:ilvl="0">
      <w:start w:val="1"/>
      <w:numFmt w:val="decimal"/>
      <w:pStyle w:val="Heading1"/>
      <w:lvlText w:val="%1."/>
      <w:lvlJc w:val="left"/>
      <w:pPr>
        <w:tabs>
          <w:tab w:val="num" w:pos="0"/>
        </w:tabs>
        <w:ind w:left="0" w:firstLine="0"/>
      </w:pPr>
      <w:rPr>
        <w:rFonts w:hint="default"/>
        <w:b w:val="0"/>
        <w:i w:val="0"/>
      </w:rPr>
    </w:lvl>
    <w:lvl w:ilvl="1">
      <w:start w:val="1"/>
      <w:numFmt w:val="decimal"/>
      <w:pStyle w:val="Heading2"/>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abstractNum w:abstractNumId="27" w15:restartNumberingAfterBreak="0">
    <w:nsid w:val="7AF609C9"/>
    <w:multiLevelType w:val="hybridMultilevel"/>
    <w:tmpl w:val="2882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55DF4"/>
    <w:multiLevelType w:val="hybridMultilevel"/>
    <w:tmpl w:val="12EA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0225A"/>
    <w:multiLevelType w:val="hybridMultilevel"/>
    <w:tmpl w:val="FF9A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6"/>
  </w:num>
  <w:num w:numId="4">
    <w:abstractNumId w:val="28"/>
  </w:num>
  <w:num w:numId="5">
    <w:abstractNumId w:val="14"/>
  </w:num>
  <w:num w:numId="6">
    <w:abstractNumId w:val="23"/>
  </w:num>
  <w:num w:numId="7">
    <w:abstractNumId w:val="0"/>
  </w:num>
  <w:num w:numId="8">
    <w:abstractNumId w:val="5"/>
  </w:num>
  <w:num w:numId="9">
    <w:abstractNumId w:val="11"/>
  </w:num>
  <w:num w:numId="10">
    <w:abstractNumId w:val="8"/>
  </w:num>
  <w:num w:numId="11">
    <w:abstractNumId w:val="1"/>
  </w:num>
  <w:num w:numId="12">
    <w:abstractNumId w:val="2"/>
  </w:num>
  <w:num w:numId="13">
    <w:abstractNumId w:val="9"/>
  </w:num>
  <w:num w:numId="14">
    <w:abstractNumId w:val="16"/>
  </w:num>
  <w:num w:numId="15">
    <w:abstractNumId w:val="24"/>
  </w:num>
  <w:num w:numId="16">
    <w:abstractNumId w:val="1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4"/>
  </w:num>
  <w:num w:numId="21">
    <w:abstractNumId w:val="27"/>
  </w:num>
  <w:num w:numId="22">
    <w:abstractNumId w:val="15"/>
  </w:num>
  <w:num w:numId="23">
    <w:abstractNumId w:val="3"/>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9"/>
  </w:num>
  <w:num w:numId="37">
    <w:abstractNumId w:val="21"/>
  </w:num>
  <w:num w:numId="38">
    <w:abstractNumId w:val="10"/>
  </w:num>
  <w:num w:numId="39">
    <w:abstractNumId w:val="12"/>
  </w:num>
  <w:num w:numId="40">
    <w:abstractNumId w:val="6"/>
  </w:num>
  <w:num w:numId="41">
    <w:abstractNumId w:val="13"/>
  </w:num>
  <w:num w:numId="4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125FB"/>
    <w:rsid w:val="00012B49"/>
    <w:rsid w:val="000156E6"/>
    <w:rsid w:val="00015959"/>
    <w:rsid w:val="0002598B"/>
    <w:rsid w:val="0002789B"/>
    <w:rsid w:val="00045653"/>
    <w:rsid w:val="00051F15"/>
    <w:rsid w:val="00067463"/>
    <w:rsid w:val="00070FAD"/>
    <w:rsid w:val="0007461E"/>
    <w:rsid w:val="00082E8E"/>
    <w:rsid w:val="000835AC"/>
    <w:rsid w:val="000853C7"/>
    <w:rsid w:val="0009417E"/>
    <w:rsid w:val="000C59FC"/>
    <w:rsid w:val="000D08A0"/>
    <w:rsid w:val="000E2134"/>
    <w:rsid w:val="000E7982"/>
    <w:rsid w:val="00105CAC"/>
    <w:rsid w:val="0012075A"/>
    <w:rsid w:val="00125513"/>
    <w:rsid w:val="00141B27"/>
    <w:rsid w:val="00146A8D"/>
    <w:rsid w:val="00147B2F"/>
    <w:rsid w:val="0015328E"/>
    <w:rsid w:val="00153D39"/>
    <w:rsid w:val="00161CE2"/>
    <w:rsid w:val="0017099C"/>
    <w:rsid w:val="00174227"/>
    <w:rsid w:val="001A0387"/>
    <w:rsid w:val="001A4AF8"/>
    <w:rsid w:val="001C253B"/>
    <w:rsid w:val="001C5311"/>
    <w:rsid w:val="001C76A2"/>
    <w:rsid w:val="001D0551"/>
    <w:rsid w:val="001D09D0"/>
    <w:rsid w:val="001E71D4"/>
    <w:rsid w:val="001F0F78"/>
    <w:rsid w:val="00204846"/>
    <w:rsid w:val="00205AA7"/>
    <w:rsid w:val="00210B6D"/>
    <w:rsid w:val="0021112F"/>
    <w:rsid w:val="00212746"/>
    <w:rsid w:val="002128BC"/>
    <w:rsid w:val="0021471F"/>
    <w:rsid w:val="00222155"/>
    <w:rsid w:val="00230544"/>
    <w:rsid w:val="002328E3"/>
    <w:rsid w:val="00233AF9"/>
    <w:rsid w:val="00240DEA"/>
    <w:rsid w:val="00241E21"/>
    <w:rsid w:val="00244CC3"/>
    <w:rsid w:val="002635E8"/>
    <w:rsid w:val="00265E8C"/>
    <w:rsid w:val="002725C2"/>
    <w:rsid w:val="00282EEB"/>
    <w:rsid w:val="00290A91"/>
    <w:rsid w:val="002965AD"/>
    <w:rsid w:val="002B08B5"/>
    <w:rsid w:val="002B2F2C"/>
    <w:rsid w:val="002B7DFE"/>
    <w:rsid w:val="002C0BB1"/>
    <w:rsid w:val="002C6DD0"/>
    <w:rsid w:val="002D3DC6"/>
    <w:rsid w:val="002D426E"/>
    <w:rsid w:val="002E1748"/>
    <w:rsid w:val="002F176E"/>
    <w:rsid w:val="002F3070"/>
    <w:rsid w:val="00301C02"/>
    <w:rsid w:val="00303DD7"/>
    <w:rsid w:val="003143E1"/>
    <w:rsid w:val="0032493E"/>
    <w:rsid w:val="00324C3F"/>
    <w:rsid w:val="00340519"/>
    <w:rsid w:val="003417A0"/>
    <w:rsid w:val="00344D65"/>
    <w:rsid w:val="0034555B"/>
    <w:rsid w:val="0035370A"/>
    <w:rsid w:val="003641E0"/>
    <w:rsid w:val="00365D50"/>
    <w:rsid w:val="0036715F"/>
    <w:rsid w:val="003724DC"/>
    <w:rsid w:val="00372A01"/>
    <w:rsid w:val="00376899"/>
    <w:rsid w:val="003838B7"/>
    <w:rsid w:val="003903BB"/>
    <w:rsid w:val="003941BF"/>
    <w:rsid w:val="003A31A3"/>
    <w:rsid w:val="003A4F7E"/>
    <w:rsid w:val="003B6FA6"/>
    <w:rsid w:val="003C225F"/>
    <w:rsid w:val="003D57EC"/>
    <w:rsid w:val="003E07BB"/>
    <w:rsid w:val="003E38C4"/>
    <w:rsid w:val="003E7918"/>
    <w:rsid w:val="003F175C"/>
    <w:rsid w:val="003F1FC4"/>
    <w:rsid w:val="00413D6E"/>
    <w:rsid w:val="00416FF1"/>
    <w:rsid w:val="00417558"/>
    <w:rsid w:val="00423053"/>
    <w:rsid w:val="004249D0"/>
    <w:rsid w:val="00432129"/>
    <w:rsid w:val="00440DCE"/>
    <w:rsid w:val="0044341A"/>
    <w:rsid w:val="0044737B"/>
    <w:rsid w:val="00450FE9"/>
    <w:rsid w:val="00465375"/>
    <w:rsid w:val="004659E3"/>
    <w:rsid w:val="00466559"/>
    <w:rsid w:val="00470020"/>
    <w:rsid w:val="004734DF"/>
    <w:rsid w:val="00473EF0"/>
    <w:rsid w:val="00477086"/>
    <w:rsid w:val="004A5E30"/>
    <w:rsid w:val="004B37E4"/>
    <w:rsid w:val="004B7660"/>
    <w:rsid w:val="004C3622"/>
    <w:rsid w:val="004D4DC6"/>
    <w:rsid w:val="004E39AD"/>
    <w:rsid w:val="00500304"/>
    <w:rsid w:val="00500964"/>
    <w:rsid w:val="00505BFD"/>
    <w:rsid w:val="0050681F"/>
    <w:rsid w:val="005110B3"/>
    <w:rsid w:val="00512C29"/>
    <w:rsid w:val="00514059"/>
    <w:rsid w:val="005157AD"/>
    <w:rsid w:val="005218E6"/>
    <w:rsid w:val="005230F2"/>
    <w:rsid w:val="005231D6"/>
    <w:rsid w:val="00523AD8"/>
    <w:rsid w:val="00536C2A"/>
    <w:rsid w:val="0054109A"/>
    <w:rsid w:val="00546492"/>
    <w:rsid w:val="00547F58"/>
    <w:rsid w:val="00555778"/>
    <w:rsid w:val="00556171"/>
    <w:rsid w:val="00561E51"/>
    <w:rsid w:val="0056587C"/>
    <w:rsid w:val="005666D2"/>
    <w:rsid w:val="00570A9E"/>
    <w:rsid w:val="005748E9"/>
    <w:rsid w:val="0058004B"/>
    <w:rsid w:val="005807A0"/>
    <w:rsid w:val="005B0151"/>
    <w:rsid w:val="005B33B6"/>
    <w:rsid w:val="005D5055"/>
    <w:rsid w:val="005D5BFC"/>
    <w:rsid w:val="005D5F72"/>
    <w:rsid w:val="005D7A83"/>
    <w:rsid w:val="005E691C"/>
    <w:rsid w:val="00615829"/>
    <w:rsid w:val="00616751"/>
    <w:rsid w:val="00624695"/>
    <w:rsid w:val="00677D9A"/>
    <w:rsid w:val="00680450"/>
    <w:rsid w:val="006822B8"/>
    <w:rsid w:val="0069622C"/>
    <w:rsid w:val="006A684D"/>
    <w:rsid w:val="006B0D8E"/>
    <w:rsid w:val="006B2FFF"/>
    <w:rsid w:val="006C3872"/>
    <w:rsid w:val="006C63B0"/>
    <w:rsid w:val="006D6B2A"/>
    <w:rsid w:val="006E0E6C"/>
    <w:rsid w:val="006E2698"/>
    <w:rsid w:val="006F04F6"/>
    <w:rsid w:val="006F140E"/>
    <w:rsid w:val="006F5E44"/>
    <w:rsid w:val="00713D89"/>
    <w:rsid w:val="00720445"/>
    <w:rsid w:val="00723597"/>
    <w:rsid w:val="00745B87"/>
    <w:rsid w:val="00750604"/>
    <w:rsid w:val="007622A5"/>
    <w:rsid w:val="00767DFC"/>
    <w:rsid w:val="007710A3"/>
    <w:rsid w:val="00771585"/>
    <w:rsid w:val="00776984"/>
    <w:rsid w:val="0077771D"/>
    <w:rsid w:val="007808BA"/>
    <w:rsid w:val="007870D1"/>
    <w:rsid w:val="00790AF9"/>
    <w:rsid w:val="007916D9"/>
    <w:rsid w:val="00796F75"/>
    <w:rsid w:val="007A701D"/>
    <w:rsid w:val="007B0C1B"/>
    <w:rsid w:val="007B4C0E"/>
    <w:rsid w:val="007D74C6"/>
    <w:rsid w:val="007E664F"/>
    <w:rsid w:val="007F28C3"/>
    <w:rsid w:val="007F748E"/>
    <w:rsid w:val="0080583E"/>
    <w:rsid w:val="0081249F"/>
    <w:rsid w:val="0081580E"/>
    <w:rsid w:val="00817D08"/>
    <w:rsid w:val="00827E47"/>
    <w:rsid w:val="008444DD"/>
    <w:rsid w:val="00845496"/>
    <w:rsid w:val="0087488A"/>
    <w:rsid w:val="00876CFC"/>
    <w:rsid w:val="00887C51"/>
    <w:rsid w:val="008A0C2C"/>
    <w:rsid w:val="008A0DD7"/>
    <w:rsid w:val="008A2999"/>
    <w:rsid w:val="008B50CF"/>
    <w:rsid w:val="008C05FF"/>
    <w:rsid w:val="008C3516"/>
    <w:rsid w:val="008C6D2E"/>
    <w:rsid w:val="008D0D80"/>
    <w:rsid w:val="008D6E1E"/>
    <w:rsid w:val="008E36E0"/>
    <w:rsid w:val="008E652C"/>
    <w:rsid w:val="008F560E"/>
    <w:rsid w:val="008F7120"/>
    <w:rsid w:val="009014A5"/>
    <w:rsid w:val="00902AD1"/>
    <w:rsid w:val="00926895"/>
    <w:rsid w:val="00931784"/>
    <w:rsid w:val="00941A74"/>
    <w:rsid w:val="0094709A"/>
    <w:rsid w:val="00950AE5"/>
    <w:rsid w:val="00953D5F"/>
    <w:rsid w:val="009579D3"/>
    <w:rsid w:val="0097204F"/>
    <w:rsid w:val="009766D1"/>
    <w:rsid w:val="00993FDF"/>
    <w:rsid w:val="009A21A7"/>
    <w:rsid w:val="009A487C"/>
    <w:rsid w:val="009B34E2"/>
    <w:rsid w:val="009B4BB2"/>
    <w:rsid w:val="009B60A8"/>
    <w:rsid w:val="009C63BC"/>
    <w:rsid w:val="009C7D51"/>
    <w:rsid w:val="009F29E1"/>
    <w:rsid w:val="009F3C1A"/>
    <w:rsid w:val="00A02470"/>
    <w:rsid w:val="00A03447"/>
    <w:rsid w:val="00A04E8C"/>
    <w:rsid w:val="00A05B24"/>
    <w:rsid w:val="00A103B4"/>
    <w:rsid w:val="00A1076B"/>
    <w:rsid w:val="00A22A7F"/>
    <w:rsid w:val="00A36D7A"/>
    <w:rsid w:val="00A409CB"/>
    <w:rsid w:val="00A462E7"/>
    <w:rsid w:val="00A472CE"/>
    <w:rsid w:val="00A51326"/>
    <w:rsid w:val="00A73FD0"/>
    <w:rsid w:val="00A77E1E"/>
    <w:rsid w:val="00A82426"/>
    <w:rsid w:val="00A86138"/>
    <w:rsid w:val="00A94818"/>
    <w:rsid w:val="00A95DAC"/>
    <w:rsid w:val="00A96AE2"/>
    <w:rsid w:val="00AA14BB"/>
    <w:rsid w:val="00AA2095"/>
    <w:rsid w:val="00AA2F44"/>
    <w:rsid w:val="00AC6917"/>
    <w:rsid w:val="00AC6C2D"/>
    <w:rsid w:val="00AC75CE"/>
    <w:rsid w:val="00AC7725"/>
    <w:rsid w:val="00AE0AA0"/>
    <w:rsid w:val="00AF0512"/>
    <w:rsid w:val="00B13864"/>
    <w:rsid w:val="00B17175"/>
    <w:rsid w:val="00B2279C"/>
    <w:rsid w:val="00B360D4"/>
    <w:rsid w:val="00B361DF"/>
    <w:rsid w:val="00B36757"/>
    <w:rsid w:val="00B376F4"/>
    <w:rsid w:val="00B410EF"/>
    <w:rsid w:val="00B4345C"/>
    <w:rsid w:val="00B503BD"/>
    <w:rsid w:val="00B60808"/>
    <w:rsid w:val="00B64170"/>
    <w:rsid w:val="00B7197A"/>
    <w:rsid w:val="00B7267C"/>
    <w:rsid w:val="00B747A4"/>
    <w:rsid w:val="00B8070F"/>
    <w:rsid w:val="00B80A50"/>
    <w:rsid w:val="00B81B2C"/>
    <w:rsid w:val="00B81BB0"/>
    <w:rsid w:val="00B82D90"/>
    <w:rsid w:val="00B860FA"/>
    <w:rsid w:val="00B95DE7"/>
    <w:rsid w:val="00BB08EC"/>
    <w:rsid w:val="00BC6E24"/>
    <w:rsid w:val="00BE4679"/>
    <w:rsid w:val="00BE5387"/>
    <w:rsid w:val="00BF67CD"/>
    <w:rsid w:val="00C05C8D"/>
    <w:rsid w:val="00C16A82"/>
    <w:rsid w:val="00C30C99"/>
    <w:rsid w:val="00C34E3B"/>
    <w:rsid w:val="00C44CC9"/>
    <w:rsid w:val="00C54D3F"/>
    <w:rsid w:val="00C55EBB"/>
    <w:rsid w:val="00C61629"/>
    <w:rsid w:val="00C6486B"/>
    <w:rsid w:val="00C73584"/>
    <w:rsid w:val="00C77058"/>
    <w:rsid w:val="00C836E9"/>
    <w:rsid w:val="00C955FF"/>
    <w:rsid w:val="00CA4D15"/>
    <w:rsid w:val="00CB3B0C"/>
    <w:rsid w:val="00CB5D13"/>
    <w:rsid w:val="00CC19A2"/>
    <w:rsid w:val="00CD4899"/>
    <w:rsid w:val="00CE6645"/>
    <w:rsid w:val="00CE6CDD"/>
    <w:rsid w:val="00CF2F97"/>
    <w:rsid w:val="00D07A35"/>
    <w:rsid w:val="00D119EE"/>
    <w:rsid w:val="00D1772F"/>
    <w:rsid w:val="00D2316B"/>
    <w:rsid w:val="00D24BCB"/>
    <w:rsid w:val="00D35AD6"/>
    <w:rsid w:val="00D42C7A"/>
    <w:rsid w:val="00D433C6"/>
    <w:rsid w:val="00D54B11"/>
    <w:rsid w:val="00D60F9D"/>
    <w:rsid w:val="00D629EA"/>
    <w:rsid w:val="00D64812"/>
    <w:rsid w:val="00D7595E"/>
    <w:rsid w:val="00D85BD7"/>
    <w:rsid w:val="00D91643"/>
    <w:rsid w:val="00DA3EF1"/>
    <w:rsid w:val="00DA5044"/>
    <w:rsid w:val="00DA7BF7"/>
    <w:rsid w:val="00DC67BC"/>
    <w:rsid w:val="00DD582D"/>
    <w:rsid w:val="00DE024F"/>
    <w:rsid w:val="00DE05C0"/>
    <w:rsid w:val="00DF0C0E"/>
    <w:rsid w:val="00DF3959"/>
    <w:rsid w:val="00E00989"/>
    <w:rsid w:val="00E01CD7"/>
    <w:rsid w:val="00E133A2"/>
    <w:rsid w:val="00E17095"/>
    <w:rsid w:val="00E176A6"/>
    <w:rsid w:val="00E2195B"/>
    <w:rsid w:val="00E373AC"/>
    <w:rsid w:val="00E41947"/>
    <w:rsid w:val="00E57A91"/>
    <w:rsid w:val="00E57D36"/>
    <w:rsid w:val="00E73F81"/>
    <w:rsid w:val="00E766A8"/>
    <w:rsid w:val="00E85C74"/>
    <w:rsid w:val="00E92005"/>
    <w:rsid w:val="00E939B4"/>
    <w:rsid w:val="00E96DB4"/>
    <w:rsid w:val="00E97233"/>
    <w:rsid w:val="00EA2338"/>
    <w:rsid w:val="00ED69C7"/>
    <w:rsid w:val="00EE146A"/>
    <w:rsid w:val="00EE3170"/>
    <w:rsid w:val="00EE63B3"/>
    <w:rsid w:val="00F11D1C"/>
    <w:rsid w:val="00F2386A"/>
    <w:rsid w:val="00F25519"/>
    <w:rsid w:val="00F27F64"/>
    <w:rsid w:val="00F3050E"/>
    <w:rsid w:val="00F3113A"/>
    <w:rsid w:val="00F355B4"/>
    <w:rsid w:val="00F41B32"/>
    <w:rsid w:val="00F44005"/>
    <w:rsid w:val="00F50B0C"/>
    <w:rsid w:val="00F6118C"/>
    <w:rsid w:val="00F61788"/>
    <w:rsid w:val="00F666B9"/>
    <w:rsid w:val="00F73350"/>
    <w:rsid w:val="00F80F45"/>
    <w:rsid w:val="00F81194"/>
    <w:rsid w:val="00F83188"/>
    <w:rsid w:val="00F96340"/>
    <w:rsid w:val="00FA3284"/>
    <w:rsid w:val="00FB0AD5"/>
    <w:rsid w:val="00FB0DEC"/>
    <w:rsid w:val="00FB2667"/>
    <w:rsid w:val="00FC04C2"/>
    <w:rsid w:val="00FC1FA3"/>
    <w:rsid w:val="00FC5142"/>
    <w:rsid w:val="00FC5C3F"/>
    <w:rsid w:val="00FD3BFA"/>
    <w:rsid w:val="00FE3EFD"/>
    <w:rsid w:val="00FE52B0"/>
    <w:rsid w:val="00FF265C"/>
    <w:rsid w:val="00FF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A34EBFD7-E443-4D85-85BA-9AF1777F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E3"/>
    <w:rPr>
      <w:rFonts w:ascii="Arial" w:hAnsi="Arial"/>
      <w:sz w:val="24"/>
    </w:rPr>
  </w:style>
  <w:style w:type="paragraph" w:styleId="Heading1">
    <w:name w:val="heading 1"/>
    <w:basedOn w:val="Normal"/>
    <w:next w:val="Normal"/>
    <w:link w:val="Heading1Char"/>
    <w:qFormat/>
    <w:rsid w:val="00440DCE"/>
    <w:pPr>
      <w:keepNext/>
      <w:numPr>
        <w:numId w:val="3"/>
      </w:numPr>
      <w:spacing w:after="240"/>
      <w:outlineLvl w:val="0"/>
    </w:pPr>
    <w:rPr>
      <w:b/>
      <w:kern w:val="28"/>
    </w:rPr>
  </w:style>
  <w:style w:type="paragraph" w:styleId="Heading2">
    <w:name w:val="heading 2"/>
    <w:basedOn w:val="Normal"/>
    <w:next w:val="Normal"/>
    <w:qFormat/>
    <w:rsid w:val="00440DCE"/>
    <w:pPr>
      <w:numPr>
        <w:ilvl w:val="1"/>
        <w:numId w:val="3"/>
      </w:numPr>
      <w:spacing w:after="240"/>
      <w:outlineLvl w:val="1"/>
    </w:p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link w:val="FootnoteTextChar"/>
    <w:rsid w:val="00440DCE"/>
    <w:rPr>
      <w:sz w:val="20"/>
    </w:rPr>
  </w:style>
  <w:style w:type="character" w:styleId="FootnoteReference">
    <w:name w:val="footnote reference"/>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table" w:styleId="TableGrid">
    <w:name w:val="Table Grid"/>
    <w:basedOn w:val="TableNormal"/>
    <w:rsid w:val="00B4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0D80"/>
    <w:rPr>
      <w:color w:val="0000FF"/>
      <w:u w:val="single"/>
    </w:rPr>
  </w:style>
  <w:style w:type="character" w:styleId="FollowedHyperlink">
    <w:name w:val="FollowedHyperlink"/>
    <w:rsid w:val="00C77058"/>
    <w:rPr>
      <w:color w:val="800080"/>
      <w:u w:val="single"/>
    </w:rPr>
  </w:style>
  <w:style w:type="paragraph" w:customStyle="1" w:styleId="TableRow">
    <w:name w:val="TableRow"/>
    <w:link w:val="TableRowChar"/>
    <w:qFormat/>
    <w:rsid w:val="00FC04C2"/>
    <w:pPr>
      <w:spacing w:before="60" w:after="60"/>
      <w:ind w:left="57" w:right="57"/>
    </w:pPr>
    <w:rPr>
      <w:rFonts w:ascii="Arial" w:hAnsi="Arial"/>
      <w:color w:val="0D0D0D"/>
      <w:sz w:val="24"/>
      <w:szCs w:val="24"/>
    </w:rPr>
  </w:style>
  <w:style w:type="character" w:customStyle="1" w:styleId="TableRowChar">
    <w:name w:val="TableRow Char"/>
    <w:link w:val="TableRow"/>
    <w:rsid w:val="00FC04C2"/>
    <w:rPr>
      <w:rFonts w:ascii="Arial" w:hAnsi="Arial"/>
      <w:color w:val="0D0D0D"/>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4B37E4"/>
    <w:pPr>
      <w:numPr>
        <w:numId w:val="9"/>
      </w:numPr>
      <w:spacing w:after="240" w:line="288" w:lineRule="auto"/>
      <w:ind w:left="720"/>
      <w:contextualSpacing/>
    </w:pPr>
    <w:rPr>
      <w:color w:val="0D0D0D"/>
      <w:szCs w:val="24"/>
    </w:rPr>
  </w:style>
  <w:style w:type="paragraph" w:customStyle="1" w:styleId="DfESOutNumbered1">
    <w:name w:val="DfESOutNumbered1"/>
    <w:basedOn w:val="Normal"/>
    <w:link w:val="DfESOutNumbered1Char"/>
    <w:qFormat/>
    <w:rsid w:val="004B37E4"/>
    <w:pPr>
      <w:numPr>
        <w:numId w:val="8"/>
      </w:numPr>
      <w:spacing w:after="240" w:line="288" w:lineRule="auto"/>
    </w:pPr>
    <w:rPr>
      <w:color w:val="0D0D0D"/>
      <w:szCs w:val="24"/>
    </w:rPr>
  </w:style>
  <w:style w:type="character" w:customStyle="1" w:styleId="DfESOutNumbered1Char">
    <w:name w:val="DfESOutNumbered1 Char"/>
    <w:link w:val="DfESOutNumbered1"/>
    <w:rsid w:val="004B37E4"/>
    <w:rPr>
      <w:rFonts w:ascii="Arial" w:hAnsi="Arial"/>
      <w:color w:val="0D0D0D"/>
      <w:sz w:val="24"/>
      <w:szCs w:val="24"/>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4B37E4"/>
    <w:rPr>
      <w:rFonts w:ascii="Arial" w:hAnsi="Arial"/>
      <w:color w:val="0D0D0D"/>
      <w:sz w:val="24"/>
      <w:szCs w:val="24"/>
    </w:rPr>
  </w:style>
  <w:style w:type="paragraph" w:customStyle="1" w:styleId="DfESOutNumbered">
    <w:name w:val="DfESOutNumbered"/>
    <w:basedOn w:val="Normal"/>
    <w:rsid w:val="00147B2F"/>
    <w:pPr>
      <w:widowControl w:val="0"/>
      <w:numPr>
        <w:numId w:val="10"/>
      </w:numPr>
      <w:overflowPunct w:val="0"/>
      <w:autoSpaceDE w:val="0"/>
      <w:autoSpaceDN w:val="0"/>
      <w:adjustRightInd w:val="0"/>
      <w:spacing w:after="240"/>
      <w:textAlignment w:val="baseline"/>
    </w:pPr>
    <w:rPr>
      <w:rFonts w:cs="Arial"/>
      <w:sz w:val="22"/>
      <w:lang w:eastAsia="en-US"/>
    </w:rPr>
  </w:style>
  <w:style w:type="character" w:customStyle="1" w:styleId="FootnoteTextChar">
    <w:name w:val="Footnote Text Char"/>
    <w:link w:val="FootnoteText"/>
    <w:rsid w:val="00147B2F"/>
    <w:rPr>
      <w:rFonts w:ascii="Arial" w:hAnsi="Arial"/>
    </w:rPr>
  </w:style>
  <w:style w:type="paragraph" w:customStyle="1" w:styleId="TableHeader">
    <w:name w:val="TableHeader"/>
    <w:qFormat/>
    <w:rsid w:val="00147B2F"/>
    <w:pPr>
      <w:spacing w:before="60" w:after="60"/>
      <w:ind w:left="57" w:right="57"/>
      <w:jc w:val="center"/>
    </w:pPr>
    <w:rPr>
      <w:rFonts w:ascii="Arial" w:hAnsi="Arial"/>
      <w:b/>
      <w:color w:val="0D0D0D"/>
      <w:sz w:val="24"/>
      <w:szCs w:val="24"/>
    </w:rPr>
  </w:style>
  <w:style w:type="paragraph" w:customStyle="1" w:styleId="Default">
    <w:name w:val="Default"/>
    <w:rsid w:val="00CB3B0C"/>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2328E3"/>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7372">
      <w:bodyDiv w:val="1"/>
      <w:marLeft w:val="0"/>
      <w:marRight w:val="0"/>
      <w:marTop w:val="0"/>
      <w:marBottom w:val="0"/>
      <w:divBdr>
        <w:top w:val="none" w:sz="0" w:space="0" w:color="auto"/>
        <w:left w:val="none" w:sz="0" w:space="0" w:color="auto"/>
        <w:bottom w:val="none" w:sz="0" w:space="0" w:color="auto"/>
        <w:right w:val="none" w:sz="0" w:space="0" w:color="auto"/>
      </w:divBdr>
    </w:div>
    <w:div w:id="115149919">
      <w:bodyDiv w:val="1"/>
      <w:marLeft w:val="0"/>
      <w:marRight w:val="0"/>
      <w:marTop w:val="0"/>
      <w:marBottom w:val="0"/>
      <w:divBdr>
        <w:top w:val="none" w:sz="0" w:space="0" w:color="auto"/>
        <w:left w:val="none" w:sz="0" w:space="0" w:color="auto"/>
        <w:bottom w:val="none" w:sz="0" w:space="0" w:color="auto"/>
        <w:right w:val="none" w:sz="0" w:space="0" w:color="auto"/>
      </w:divBdr>
    </w:div>
    <w:div w:id="180096284">
      <w:bodyDiv w:val="1"/>
      <w:marLeft w:val="0"/>
      <w:marRight w:val="0"/>
      <w:marTop w:val="0"/>
      <w:marBottom w:val="0"/>
      <w:divBdr>
        <w:top w:val="none" w:sz="0" w:space="0" w:color="auto"/>
        <w:left w:val="none" w:sz="0" w:space="0" w:color="auto"/>
        <w:bottom w:val="none" w:sz="0" w:space="0" w:color="auto"/>
        <w:right w:val="none" w:sz="0" w:space="0" w:color="auto"/>
      </w:divBdr>
    </w:div>
    <w:div w:id="485900472">
      <w:bodyDiv w:val="1"/>
      <w:marLeft w:val="0"/>
      <w:marRight w:val="0"/>
      <w:marTop w:val="0"/>
      <w:marBottom w:val="0"/>
      <w:divBdr>
        <w:top w:val="none" w:sz="0" w:space="0" w:color="auto"/>
        <w:left w:val="none" w:sz="0" w:space="0" w:color="auto"/>
        <w:bottom w:val="none" w:sz="0" w:space="0" w:color="auto"/>
        <w:right w:val="none" w:sz="0" w:space="0" w:color="auto"/>
      </w:divBdr>
    </w:div>
    <w:div w:id="606153890">
      <w:bodyDiv w:val="1"/>
      <w:marLeft w:val="0"/>
      <w:marRight w:val="0"/>
      <w:marTop w:val="0"/>
      <w:marBottom w:val="0"/>
      <w:divBdr>
        <w:top w:val="none" w:sz="0" w:space="0" w:color="auto"/>
        <w:left w:val="none" w:sz="0" w:space="0" w:color="auto"/>
        <w:bottom w:val="none" w:sz="0" w:space="0" w:color="auto"/>
        <w:right w:val="none" w:sz="0" w:space="0" w:color="auto"/>
      </w:divBdr>
    </w:div>
    <w:div w:id="665206432">
      <w:bodyDiv w:val="1"/>
      <w:marLeft w:val="0"/>
      <w:marRight w:val="0"/>
      <w:marTop w:val="0"/>
      <w:marBottom w:val="0"/>
      <w:divBdr>
        <w:top w:val="none" w:sz="0" w:space="0" w:color="auto"/>
        <w:left w:val="none" w:sz="0" w:space="0" w:color="auto"/>
        <w:bottom w:val="none" w:sz="0" w:space="0" w:color="auto"/>
        <w:right w:val="none" w:sz="0" w:space="0" w:color="auto"/>
      </w:divBdr>
    </w:div>
    <w:div w:id="935286026">
      <w:bodyDiv w:val="1"/>
      <w:marLeft w:val="0"/>
      <w:marRight w:val="0"/>
      <w:marTop w:val="0"/>
      <w:marBottom w:val="0"/>
      <w:divBdr>
        <w:top w:val="none" w:sz="0" w:space="0" w:color="auto"/>
        <w:left w:val="none" w:sz="0" w:space="0" w:color="auto"/>
        <w:bottom w:val="none" w:sz="0" w:space="0" w:color="auto"/>
        <w:right w:val="none" w:sz="0" w:space="0" w:color="auto"/>
      </w:divBdr>
    </w:div>
    <w:div w:id="936982680">
      <w:bodyDiv w:val="1"/>
      <w:marLeft w:val="0"/>
      <w:marRight w:val="0"/>
      <w:marTop w:val="0"/>
      <w:marBottom w:val="0"/>
      <w:divBdr>
        <w:top w:val="none" w:sz="0" w:space="0" w:color="auto"/>
        <w:left w:val="none" w:sz="0" w:space="0" w:color="auto"/>
        <w:bottom w:val="none" w:sz="0" w:space="0" w:color="auto"/>
        <w:right w:val="none" w:sz="0" w:space="0" w:color="auto"/>
      </w:divBdr>
    </w:div>
    <w:div w:id="1317295761">
      <w:bodyDiv w:val="1"/>
      <w:marLeft w:val="0"/>
      <w:marRight w:val="0"/>
      <w:marTop w:val="0"/>
      <w:marBottom w:val="0"/>
      <w:divBdr>
        <w:top w:val="none" w:sz="0" w:space="0" w:color="auto"/>
        <w:left w:val="none" w:sz="0" w:space="0" w:color="auto"/>
        <w:bottom w:val="none" w:sz="0" w:space="0" w:color="auto"/>
        <w:right w:val="none" w:sz="0" w:space="0" w:color="auto"/>
      </w:divBdr>
    </w:div>
    <w:div w:id="1335568846">
      <w:bodyDiv w:val="1"/>
      <w:marLeft w:val="0"/>
      <w:marRight w:val="0"/>
      <w:marTop w:val="0"/>
      <w:marBottom w:val="0"/>
      <w:divBdr>
        <w:top w:val="none" w:sz="0" w:space="0" w:color="auto"/>
        <w:left w:val="none" w:sz="0" w:space="0" w:color="auto"/>
        <w:bottom w:val="none" w:sz="0" w:space="0" w:color="auto"/>
        <w:right w:val="none" w:sz="0" w:space="0" w:color="auto"/>
      </w:divBdr>
    </w:div>
    <w:div w:id="1407726234">
      <w:bodyDiv w:val="1"/>
      <w:marLeft w:val="0"/>
      <w:marRight w:val="0"/>
      <w:marTop w:val="0"/>
      <w:marBottom w:val="0"/>
      <w:divBdr>
        <w:top w:val="none" w:sz="0" w:space="0" w:color="auto"/>
        <w:left w:val="none" w:sz="0" w:space="0" w:color="auto"/>
        <w:bottom w:val="none" w:sz="0" w:space="0" w:color="auto"/>
        <w:right w:val="none" w:sz="0" w:space="0" w:color="auto"/>
      </w:divBdr>
    </w:div>
    <w:div w:id="1413088516">
      <w:bodyDiv w:val="1"/>
      <w:marLeft w:val="0"/>
      <w:marRight w:val="0"/>
      <w:marTop w:val="0"/>
      <w:marBottom w:val="0"/>
      <w:divBdr>
        <w:top w:val="none" w:sz="0" w:space="0" w:color="auto"/>
        <w:left w:val="none" w:sz="0" w:space="0" w:color="auto"/>
        <w:bottom w:val="none" w:sz="0" w:space="0" w:color="auto"/>
        <w:right w:val="none" w:sz="0" w:space="0" w:color="auto"/>
      </w:divBdr>
    </w:div>
    <w:div w:id="1498500902">
      <w:bodyDiv w:val="1"/>
      <w:marLeft w:val="0"/>
      <w:marRight w:val="0"/>
      <w:marTop w:val="0"/>
      <w:marBottom w:val="0"/>
      <w:divBdr>
        <w:top w:val="none" w:sz="0" w:space="0" w:color="auto"/>
        <w:left w:val="none" w:sz="0" w:space="0" w:color="auto"/>
        <w:bottom w:val="none" w:sz="0" w:space="0" w:color="auto"/>
        <w:right w:val="none" w:sz="0" w:space="0" w:color="auto"/>
      </w:divBdr>
    </w:div>
    <w:div w:id="1637178774">
      <w:bodyDiv w:val="1"/>
      <w:marLeft w:val="0"/>
      <w:marRight w:val="0"/>
      <w:marTop w:val="0"/>
      <w:marBottom w:val="0"/>
      <w:divBdr>
        <w:top w:val="none" w:sz="0" w:space="0" w:color="auto"/>
        <w:left w:val="none" w:sz="0" w:space="0" w:color="auto"/>
        <w:bottom w:val="none" w:sz="0" w:space="0" w:color="auto"/>
        <w:right w:val="none" w:sz="0" w:space="0" w:color="auto"/>
      </w:divBdr>
    </w:div>
    <w:div w:id="1704551398">
      <w:bodyDiv w:val="1"/>
      <w:marLeft w:val="0"/>
      <w:marRight w:val="0"/>
      <w:marTop w:val="0"/>
      <w:marBottom w:val="0"/>
      <w:divBdr>
        <w:top w:val="none" w:sz="0" w:space="0" w:color="auto"/>
        <w:left w:val="none" w:sz="0" w:space="0" w:color="auto"/>
        <w:bottom w:val="none" w:sz="0" w:space="0" w:color="auto"/>
        <w:right w:val="none" w:sz="0" w:space="0" w:color="auto"/>
      </w:divBdr>
    </w:div>
    <w:div w:id="1735228321">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93034797">
      <w:bodyDiv w:val="1"/>
      <w:marLeft w:val="0"/>
      <w:marRight w:val="0"/>
      <w:marTop w:val="0"/>
      <w:marBottom w:val="0"/>
      <w:divBdr>
        <w:top w:val="none" w:sz="0" w:space="0" w:color="auto"/>
        <w:left w:val="none" w:sz="0" w:space="0" w:color="auto"/>
        <w:bottom w:val="none" w:sz="0" w:space="0" w:color="auto"/>
        <w:right w:val="none" w:sz="0" w:space="0" w:color="auto"/>
      </w:divBdr>
    </w:div>
    <w:div w:id="19164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16-schools-funding-local-authority-guidance-for-2022-to-2023/schools-operational-guide-2022-to-2023" TargetMode="External"/><Relationship Id="rId13" Type="http://schemas.openxmlformats.org/officeDocument/2006/relationships/hyperlink" Target="https://www.gov.uk/guidance/school-capital-fund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signin.educatio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Team@westberks.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arlyyearsservice@westberks.gov.uk" TargetMode="External"/><Relationship Id="rId4" Type="http://schemas.openxmlformats.org/officeDocument/2006/relationships/settings" Target="settings.xml"/><Relationship Id="rId9" Type="http://schemas.openxmlformats.org/officeDocument/2006/relationships/hyperlink" Target="https://www.gov.uk/government/publications/national-funding-formula-for-schools-and-high-need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5D416-A6E8-42BD-ADDA-D854E88D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Template>
  <TotalTime>0</TotalTime>
  <Pages>11</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24784</CharactersWithSpaces>
  <SharedDoc>false</SharedDoc>
  <HLinks>
    <vt:vector size="12" baseType="variant">
      <vt:variant>
        <vt:i4>6291578</vt:i4>
      </vt:variant>
      <vt:variant>
        <vt:i4>3</vt:i4>
      </vt:variant>
      <vt:variant>
        <vt:i4>0</vt:i4>
      </vt:variant>
      <vt:variant>
        <vt:i4>5</vt:i4>
      </vt:variant>
      <vt:variant>
        <vt:lpwstr>http://info.westberks.gov.uk/index.aspx?articleid=31483</vt:lpwstr>
      </vt:variant>
      <vt:variant>
        <vt:lpwstr/>
      </vt:variant>
      <vt:variant>
        <vt:i4>2228341</vt:i4>
      </vt:variant>
      <vt:variant>
        <vt:i4>0</vt:i4>
      </vt:variant>
      <vt:variant>
        <vt:i4>0</vt:i4>
      </vt:variant>
      <vt:variant>
        <vt:i4>5</vt:i4>
      </vt:variant>
      <vt:variant>
        <vt:lpwstr>https://www.gov.uk/government/publications/national-funding-formula-for-schools-and-high-needs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Fran Williams</cp:lastModifiedBy>
  <cp:revision>2</cp:revision>
  <cp:lastPrinted>2017-01-26T11:42:00Z</cp:lastPrinted>
  <dcterms:created xsi:type="dcterms:W3CDTF">2022-01-26T11:16:00Z</dcterms:created>
  <dcterms:modified xsi:type="dcterms:W3CDTF">2022-01-26T11:16:00Z</dcterms:modified>
  <cp:category>Security</cp:category>
</cp:coreProperties>
</file>